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" w:line="580" w:lineRule="exact"/>
        <w:ind w:left="0" w:leftChars="0" w:right="120" w:firstLine="0" w:firstLineChars="0"/>
        <w:jc w:val="both"/>
        <w:rPr>
          <w:rStyle w:val="5"/>
          <w:rFonts w:ascii="宋体" w:hAnsi="宋体" w:eastAsia="宋体" w:cs="宋体"/>
          <w:b/>
          <w:bCs/>
          <w:spacing w:val="-2"/>
          <w:sz w:val="44"/>
          <w:szCs w:val="28"/>
          <w:lang w:val="en-US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20" w:firstLine="872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pacing w:val="-2"/>
          <w:sz w:val="44"/>
          <w:szCs w:val="28"/>
          <w:lang w:val="en-US" w:eastAsia="zh-CN"/>
        </w:rPr>
        <w:t>关于举办甘肃省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第二届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高等院校就业创业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20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课程案例设计大赛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的通知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20"/>
        <w:jc w:val="both"/>
        <w:textAlignment w:val="baseline"/>
        <w:outlineLvl w:val="9"/>
        <w:rPr>
          <w:rStyle w:val="5"/>
          <w:rFonts w:ascii="宋体" w:hAnsi="宋体" w:eastAsia="宋体"/>
          <w:spacing w:val="-2"/>
          <w:sz w:val="28"/>
          <w:szCs w:val="28"/>
          <w:lang w:val="en-US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12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各高校学校：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20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为贯彻落实党中央、国务院“稳就业”“保就业”决策部署，加强职业发展教育和就业指导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，不断提高就业创业指导师资队伍专业化水平，促进高校就业创业指导课程建设和队伍建设，打造大学生就业创业指导“名师金课”，</w:t>
      </w:r>
      <w:r>
        <w:rPr>
          <w:rStyle w:val="5"/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充分发挥就业创业课程促就业作用，省教育厅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决定举办“甘肃省第二届</w:t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2"/>
          <w:sz w:val="32"/>
          <w:szCs w:val="32"/>
          <w:lang w:val="en-US"/>
        </w:rPr>
        <w:t>高等院校就业创业课程案例设计大赛</w:t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2"/>
          <w:sz w:val="32"/>
          <w:szCs w:val="32"/>
          <w:lang w:val="en-US" w:eastAsia="zh-CN"/>
        </w:rPr>
        <w:t>”。现将有关事项通知如下：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20" w:firstLine="632" w:firstLineChars="200"/>
        <w:jc w:val="both"/>
        <w:textAlignment w:val="baseline"/>
        <w:outlineLvl w:val="9"/>
        <w:rPr>
          <w:rStyle w:val="5"/>
          <w:rFonts w:hint="eastAsia" w:ascii="黑体" w:hAnsi="黑体" w:eastAsia="黑体" w:cs="黑体"/>
          <w:b w:val="0"/>
          <w:bCs w:val="0"/>
          <w:spacing w:val="-2"/>
          <w:sz w:val="32"/>
          <w:szCs w:val="32"/>
          <w:lang w:val="en-US"/>
        </w:rPr>
      </w:pPr>
      <w:r>
        <w:rPr>
          <w:rStyle w:val="5"/>
          <w:rFonts w:hint="eastAsia" w:ascii="黑体" w:hAnsi="黑体" w:eastAsia="黑体" w:cs="黑体"/>
          <w:b w:val="0"/>
          <w:bCs w:val="0"/>
          <w:spacing w:val="-2"/>
          <w:sz w:val="32"/>
          <w:szCs w:val="32"/>
          <w:lang w:val="en-US"/>
        </w:rPr>
        <w:t>一、大赛目标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20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 紧密围绕立德树人根本任务，深入贯彻就业育人理念，以“课程育人”为抓手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，为全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就业指导教师搭建专业交流平台，全面展示教学水平和创新成果，不断提升就业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创业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指导课程和队伍建设实效，促进高校毕业生更加充分更高质量就业创业。以赛事促进课程建设，以赛事推动师资培训，以赛事提升教育教学质量，有力推动职业生涯教育的长远发展。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20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将大赛精品案例分类整理，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收录至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我省“就业创业”精品案例资源库，供各高校在就业创业指导服务中引用。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20" w:firstLine="640" w:firstLineChars="200"/>
        <w:jc w:val="both"/>
        <w:textAlignment w:val="baseline"/>
        <w:outlineLvl w:val="9"/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二、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大赛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组织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77" w:firstLine="664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5"/>
          <w:rFonts w:hint="eastAsia" w:ascii="楷体" w:hAnsi="楷体" w:eastAsia="楷体" w:cs="楷体"/>
          <w:spacing w:val="6"/>
          <w:sz w:val="32"/>
          <w:szCs w:val="32"/>
          <w:lang w:eastAsia="zh-CN"/>
        </w:rPr>
        <w:t>主办：</w:t>
      </w:r>
      <w:r>
        <w:rPr>
          <w:rStyle w:val="5"/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甘肃</w:t>
      </w:r>
      <w:r>
        <w:rPr>
          <w:rStyle w:val="5"/>
          <w:rFonts w:hint="eastAsia" w:ascii="仿宋_GB2312" w:hAnsi="仿宋_GB2312" w:eastAsia="仿宋_GB2312" w:cs="仿宋_GB2312"/>
          <w:spacing w:val="6"/>
          <w:sz w:val="32"/>
          <w:szCs w:val="32"/>
        </w:rPr>
        <w:t>省教育</w:t>
      </w:r>
      <w:r>
        <w:rPr>
          <w:rStyle w:val="5"/>
          <w:rFonts w:hint="eastAsia" w:ascii="仿宋_GB2312" w:hAnsi="仿宋_GB2312" w:eastAsia="仿宋_GB2312" w:cs="仿宋_GB2312"/>
          <w:spacing w:val="-4"/>
          <w:sz w:val="32"/>
          <w:szCs w:val="32"/>
        </w:rPr>
        <w:t>厅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baseline"/>
        <w:outlineLvl w:val="9"/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三、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大赛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时间和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  <w:lang w:val="en-US"/>
        </w:rPr>
        <w:t>形式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64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楷体" w:hAnsi="楷体" w:eastAsia="楷体" w:cs="楷体"/>
          <w:spacing w:val="6"/>
          <w:sz w:val="32"/>
          <w:szCs w:val="32"/>
          <w:lang w:eastAsia="zh-CN"/>
        </w:rPr>
        <w:t>时间：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各校作品传送时间截止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10月30日。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楷体" w:hAnsi="楷体" w:eastAsia="楷体" w:cs="楷体"/>
          <w:spacing w:val="6"/>
          <w:sz w:val="32"/>
          <w:szCs w:val="32"/>
          <w:lang w:val="en-US" w:eastAsia="zh-CN" w:bidi="zh-CN"/>
        </w:rPr>
        <w:t>形式：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网络参赛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报名平台将在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10月25日起开放报名通道，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具体报名链接和流程后续下发。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Style w:val="5"/>
          <w:rFonts w:hint="eastAsia" w:ascii="楷体" w:hAnsi="楷体" w:eastAsia="楷体" w:cs="楷体"/>
          <w:spacing w:val="6"/>
          <w:sz w:val="32"/>
          <w:szCs w:val="32"/>
          <w:lang w:val="en-US" w:eastAsia="zh-CN" w:bidi="zh-CN"/>
        </w:rPr>
        <w:t>组别：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本科组，高职高专组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baseline"/>
        <w:outlineLvl w:val="9"/>
        <w:rPr>
          <w:rStyle w:val="5"/>
          <w:rFonts w:ascii="宋体" w:hAnsi="宋体" w:eastAsia="宋体" w:cs="宋体"/>
          <w:b/>
          <w:bCs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  <w:lang w:val="en-US"/>
        </w:rPr>
        <w:t>四、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参赛对象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全省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高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校在职教师，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参赛主体为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学校职业生涯教育及就业创业课程教师个人或团队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（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不多于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3人）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32" w:firstLineChars="200"/>
        <w:textAlignment w:val="baseline"/>
        <w:outlineLvl w:val="9"/>
        <w:rPr>
          <w:rStyle w:val="5"/>
          <w:rFonts w:ascii="宋体" w:hAnsi="宋体" w:eastAsia="宋体" w:cs="宋体"/>
          <w:b/>
          <w:bCs/>
          <w:spacing w:val="-2"/>
          <w:sz w:val="32"/>
          <w:szCs w:val="32"/>
          <w:lang w:val="en-US"/>
        </w:rPr>
      </w:pPr>
      <w:r>
        <w:rPr>
          <w:rStyle w:val="5"/>
          <w:rFonts w:hint="eastAsia" w:ascii="黑体" w:hAnsi="黑体" w:eastAsia="黑体" w:cs="黑体"/>
          <w:b w:val="0"/>
          <w:bCs w:val="0"/>
          <w:spacing w:val="-2"/>
          <w:sz w:val="32"/>
          <w:szCs w:val="32"/>
          <w:lang w:val="en-US"/>
        </w:rPr>
        <w:t>五、</w:t>
      </w:r>
      <w:r>
        <w:rPr>
          <w:rStyle w:val="5"/>
          <w:rFonts w:hint="eastAsia" w:ascii="黑体" w:hAnsi="黑体" w:eastAsia="黑体" w:cs="黑体"/>
          <w:b w:val="0"/>
          <w:bCs w:val="0"/>
          <w:spacing w:val="-2"/>
          <w:sz w:val="32"/>
          <w:szCs w:val="32"/>
          <w:lang w:val="en-US" w:eastAsia="zh-CN"/>
        </w:rPr>
        <w:t>大赛</w:t>
      </w:r>
      <w:r>
        <w:rPr>
          <w:rStyle w:val="5"/>
          <w:rFonts w:hint="eastAsia" w:ascii="黑体" w:hAnsi="黑体" w:eastAsia="黑体" w:cs="黑体"/>
          <w:b w:val="0"/>
          <w:bCs w:val="0"/>
          <w:spacing w:val="-2"/>
          <w:sz w:val="32"/>
          <w:szCs w:val="32"/>
          <w:lang w:val="en-US"/>
        </w:rPr>
        <w:t>要求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结合本校就业创业工作的实际情况，重点考察针对就业创业课程在教学体系中的定位、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教学设计、课堂实施、目标达成、改进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措施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的能力。</w:t>
      </w:r>
      <w:r>
        <w:rPr>
          <w:rStyle w:val="5"/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明确说明课程教学解决了教学中的哪些“痛点”问题，注重问题导向；突出课程教学改革过程中贯彻“以学生为中心”的教育理念，全面反映提升课程教学质量的思路、举措、效果及反思，注重多种教学模式和方法在课堂教学中的应用；通过基于数据、案例等证据的可靠分析，说明问题解决的情况和效果，并分析其推广应用的价值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参赛选手或团队应遵循高等教育规律，教学目的明确，教学思路清晰，教学内容充实；教学过程组织合理，方法运用恰当有效；文字表达准确规范、条理清楚、逻辑性强。既符合大纲要求，又紧密联系实际。注重全面传授就业创业知识，引导学生正确理解就业创业，结合学校办学定位、专业特色和学生需要分类施教，突出就业创业实践丰富教学内容，增强教学的开放性、互动性和实效性</w:t>
      </w:r>
      <w:r>
        <w:rPr>
          <w:rStyle w:val="5"/>
          <w:rFonts w:hint="eastAsia" w:ascii="仿宋_GB2312" w:hAnsi="仿宋_GB2312" w:eastAsia="仿宋_GB2312" w:cs="仿宋_GB2312"/>
          <w:spacing w:val="-2"/>
          <w:sz w:val="32"/>
          <w:szCs w:val="32"/>
        </w:rPr>
        <w:t>。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注重利用虚拟仿真资源解决就业创业实践应用能力。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32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（三）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赛选手或团队要坚持立德树人根本，推进全员全过程全方位的“三全育人”，实现思想政治教育与专业技术、职业能力培养的有机统一。要以课程体系建设为基础，夯实就业根基，要以多方联动为渠道，实现就业育才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六、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  <w:lang w:val="en-US"/>
        </w:rPr>
        <w:t>参赛内容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及参赛名额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各高校推荐参赛作品不少于3个，主题用案例形式从以下五个模块选取：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1.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后疫情时代、互联网/人工智能时代就业形势与职业发展方向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2.职业生涯规划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就业指导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4.创新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创业指导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.重点群体就业创业指导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七、参赛作品及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评分</w:t>
      </w: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办法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66" w:firstLine="640" w:firstLineChars="200"/>
        <w:jc w:val="both"/>
        <w:textAlignment w:val="baseline"/>
        <w:outlineLvl w:val="9"/>
        <w:rPr>
          <w:rStyle w:val="5"/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Style w:val="5"/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（一）参赛作品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56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spacing w:val="12"/>
          <w:w w:val="95"/>
          <w:sz w:val="32"/>
          <w:szCs w:val="32"/>
          <w:lang w:val="en-US"/>
        </w:rPr>
        <w:t>1.</w:t>
      </w:r>
      <w:r>
        <w:rPr>
          <w:rStyle w:val="5"/>
          <w:rFonts w:hint="eastAsia" w:ascii="仿宋_GB2312" w:hAnsi="仿宋_GB2312" w:eastAsia="仿宋_GB2312" w:cs="仿宋_GB2312"/>
          <w:spacing w:val="12"/>
          <w:w w:val="95"/>
          <w:sz w:val="32"/>
          <w:szCs w:val="32"/>
        </w:rPr>
        <w:t>教学团队</w:t>
      </w:r>
      <w:r>
        <w:rPr>
          <w:rStyle w:val="5"/>
          <w:rFonts w:hint="eastAsia" w:ascii="仿宋_GB2312" w:hAnsi="仿宋_GB2312" w:eastAsia="仿宋_GB2312" w:cs="仿宋_GB2312"/>
          <w:spacing w:val="12"/>
          <w:w w:val="95"/>
          <w:sz w:val="32"/>
          <w:szCs w:val="32"/>
          <w:lang w:eastAsia="zh-CN"/>
        </w:rPr>
        <w:t>或个人</w:t>
      </w:r>
      <w:r>
        <w:rPr>
          <w:rStyle w:val="5"/>
          <w:rFonts w:hint="eastAsia" w:ascii="仿宋_GB2312" w:hAnsi="仿宋_GB2312" w:eastAsia="仿宋_GB2312" w:cs="仿宋_GB2312"/>
          <w:spacing w:val="12"/>
          <w:w w:val="95"/>
          <w:sz w:val="32"/>
          <w:szCs w:val="32"/>
          <w:lang w:val="en-US"/>
        </w:rPr>
        <w:t>根据选取的模块</w:t>
      </w:r>
      <w:r>
        <w:rPr>
          <w:rStyle w:val="5"/>
          <w:rFonts w:hint="eastAsia" w:ascii="仿宋_GB2312" w:hAnsi="仿宋_GB2312" w:eastAsia="仿宋_GB2312" w:cs="仿宋_GB2312"/>
          <w:spacing w:val="12"/>
          <w:w w:val="95"/>
          <w:sz w:val="32"/>
          <w:szCs w:val="32"/>
        </w:rPr>
        <w:t>，</w:t>
      </w:r>
      <w:r>
        <w:rPr>
          <w:rStyle w:val="5"/>
          <w:rFonts w:hint="eastAsia" w:ascii="仿宋_GB2312" w:hAnsi="仿宋_GB2312" w:eastAsia="仿宋_GB2312" w:cs="仿宋_GB2312"/>
          <w:spacing w:val="12"/>
          <w:w w:val="95"/>
          <w:sz w:val="32"/>
          <w:szCs w:val="32"/>
          <w:lang w:eastAsia="zh-CN"/>
        </w:rPr>
        <w:t>完成相关教学任务作为参赛作品。</w:t>
      </w:r>
      <w:bookmarkStart w:id="0" w:name="_GoBack"/>
      <w:bookmarkEnd w:id="0"/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278" w:firstLine="640" w:firstLineChars="200"/>
        <w:jc w:val="both"/>
        <w:textAlignment w:val="baseline"/>
        <w:outlineLvl w:val="9"/>
        <w:rPr>
          <w:rStyle w:val="5"/>
          <w:rFonts w:ascii="宋体" w:hAnsi="宋体" w:eastAsia="宋体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2.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参赛作品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提交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材料包括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教案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PPT课件、</w:t>
      </w:r>
      <w:r>
        <w:rPr>
          <w:rStyle w:val="5"/>
          <w:rFonts w:hint="eastAsia" w:ascii="仿宋_GB2312" w:hAnsi="仿宋_GB2312" w:eastAsia="仿宋_GB2312" w:cs="仿宋_GB2312"/>
          <w:spacing w:val="-4"/>
          <w:sz w:val="32"/>
          <w:szCs w:val="32"/>
        </w:rPr>
        <w:t>实录视频（</w:t>
      </w:r>
      <w:r>
        <w:rPr>
          <w:rStyle w:val="5"/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个人</w:t>
      </w:r>
      <w:r>
        <w:rPr>
          <w:rStyle w:val="5"/>
          <w:rFonts w:hint="eastAsia" w:ascii="仿宋_GB2312" w:hAnsi="仿宋_GB2312" w:eastAsia="仿宋_GB2312" w:cs="仿宋_GB2312"/>
          <w:spacing w:val="-4"/>
          <w:sz w:val="32"/>
          <w:szCs w:val="32"/>
          <w:lang w:val="en-US"/>
        </w:rPr>
        <w:t>10分钟以内</w:t>
      </w:r>
      <w:r>
        <w:rPr>
          <w:rStyle w:val="5"/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，团队15分钟以内</w:t>
      </w:r>
      <w:r>
        <w:rPr>
          <w:rStyle w:val="5"/>
          <w:rFonts w:hint="eastAsia" w:ascii="仿宋_GB2312" w:hAnsi="仿宋_GB2312" w:eastAsia="仿宋_GB2312" w:cs="仿宋_GB2312"/>
          <w:spacing w:val="-4"/>
          <w:sz w:val="32"/>
          <w:szCs w:val="32"/>
        </w:rPr>
        <w:t>）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。实录视频约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8-10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分钟的视频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格式标准文件采用 MP4格式，分辨率720P以上，每段视频文件大小不超过 1200MB，图像清晰稳定，声音清楚。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left="0" w:firstLine="640" w:firstLineChars="200"/>
        <w:textAlignment w:val="baseline"/>
        <w:outlineLvl w:val="9"/>
        <w:rPr>
          <w:rStyle w:val="5"/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Style w:val="5"/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</w:t>
      </w:r>
      <w:r>
        <w:rPr>
          <w:rStyle w:val="5"/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/>
        </w:rPr>
        <w:t>评分</w:t>
      </w:r>
      <w:r>
        <w:rPr>
          <w:rStyle w:val="5"/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办法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960" w:firstLineChars="3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/>
        </w:rPr>
        <w:t>详见附件。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baseline"/>
        <w:outlineLvl w:val="9"/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八、奖励办法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15" w:firstLine="596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  <w:lang w:val="en-US"/>
        </w:rPr>
      </w:pP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  <w:lang w:val="en-US"/>
        </w:rPr>
        <w:t>本科组与高职高专组分别进行奖励。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15" w:firstLine="596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pacing w:val="-44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  <w:lang w:val="en-US"/>
        </w:rPr>
        <w:t>一等奖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</w:rPr>
        <w:t>占参赛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  <w:lang w:val="en-US"/>
        </w:rPr>
        <w:t>队伍总数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的 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10%；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15" w:firstLine="596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pacing w:val="8"/>
          <w:w w:val="99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</w:rPr>
        <w:t>二等奖占参赛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  <w:lang w:val="en-US"/>
        </w:rPr>
        <w:t>队伍总数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</w:rPr>
        <w:t>的</w:t>
      </w:r>
      <w:r>
        <w:rPr>
          <w:rStyle w:val="5"/>
          <w:rFonts w:hint="eastAsia" w:ascii="仿宋_GB2312" w:hAnsi="仿宋_GB2312" w:eastAsia="仿宋_GB2312" w:cs="仿宋_GB2312"/>
          <w:spacing w:val="-10"/>
          <w:position w:val="1"/>
          <w:sz w:val="32"/>
          <w:szCs w:val="32"/>
        </w:rPr>
        <w:t xml:space="preserve"> </w:t>
      </w:r>
      <w:r>
        <w:rPr>
          <w:rStyle w:val="5"/>
          <w:rFonts w:hint="eastAsia" w:ascii="仿宋_GB2312" w:hAnsi="仿宋_GB2312" w:eastAsia="仿宋_GB2312" w:cs="仿宋_GB2312"/>
          <w:spacing w:val="4"/>
          <w:position w:val="1"/>
          <w:sz w:val="32"/>
          <w:szCs w:val="32"/>
          <w:lang w:val="en-US" w:eastAsia="zh-CN"/>
        </w:rPr>
        <w:t>15</w:t>
      </w:r>
      <w:r>
        <w:rPr>
          <w:rStyle w:val="5"/>
          <w:rFonts w:hint="eastAsia" w:ascii="仿宋_GB2312" w:hAnsi="仿宋_GB2312" w:eastAsia="仿宋_GB2312" w:cs="仿宋_GB2312"/>
          <w:spacing w:val="8"/>
          <w:w w:val="99"/>
          <w:sz w:val="32"/>
          <w:szCs w:val="32"/>
          <w:lang w:val="en-US" w:bidi="ar-SA"/>
        </w:rPr>
        <w:drawing>
          <wp:inline distT="0" distB="0" distL="0" distR="0">
            <wp:extent cx="85725" cy="155575"/>
            <wp:effectExtent l="0" t="0" r="0" b="0"/>
            <wp:docPr id="102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_x0000_t75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8" cy="15567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仿宋_GB2312" w:hAnsi="仿宋_GB2312" w:eastAsia="仿宋_GB2312" w:cs="仿宋_GB2312"/>
          <w:spacing w:val="8"/>
          <w:w w:val="99"/>
          <w:sz w:val="32"/>
          <w:szCs w:val="32"/>
        </w:rPr>
        <w:t>；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115" w:firstLine="664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pacing w:val="8"/>
          <w:w w:val="99"/>
          <w:sz w:val="32"/>
          <w:szCs w:val="32"/>
          <w:lang w:val="en-US"/>
        </w:rPr>
      </w:pPr>
      <w:r>
        <w:rPr>
          <w:rStyle w:val="5"/>
          <w:rFonts w:hint="eastAsia" w:ascii="仿宋_GB2312" w:hAnsi="仿宋_GB2312" w:eastAsia="仿宋_GB2312" w:cs="仿宋_GB2312"/>
          <w:spacing w:val="8"/>
          <w:w w:val="99"/>
          <w:sz w:val="32"/>
          <w:szCs w:val="32"/>
          <w:lang w:val="en-US"/>
        </w:rPr>
        <w:t>三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  <w:lang w:val="en-US"/>
        </w:rPr>
        <w:t>等奖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</w:rPr>
        <w:t>占参赛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  <w:lang w:val="en-US"/>
        </w:rPr>
        <w:t>队伍总数</w:t>
      </w:r>
      <w:r>
        <w:rPr>
          <w:rStyle w:val="5"/>
          <w:rFonts w:hint="eastAsia" w:ascii="仿宋_GB2312" w:hAnsi="仿宋_GB2312" w:eastAsia="仿宋_GB2312" w:cs="仿宋_GB2312"/>
          <w:spacing w:val="-11"/>
          <w:sz w:val="32"/>
          <w:szCs w:val="32"/>
        </w:rPr>
        <w:t>的</w:t>
      </w:r>
      <w:r>
        <w:rPr>
          <w:rStyle w:val="5"/>
          <w:rFonts w:hint="eastAsia" w:ascii="仿宋_GB2312" w:hAnsi="仿宋_GB2312" w:eastAsia="仿宋_GB2312" w:cs="仿宋_GB2312"/>
          <w:spacing w:val="4"/>
          <w:position w:val="1"/>
          <w:sz w:val="32"/>
          <w:szCs w:val="32"/>
          <w:lang w:val="en-US" w:eastAsia="zh-CN"/>
        </w:rPr>
        <w:t>2</w:t>
      </w:r>
      <w:r>
        <w:rPr>
          <w:rStyle w:val="5"/>
          <w:rFonts w:hint="eastAsia" w:ascii="仿宋_GB2312" w:hAnsi="仿宋_GB2312" w:eastAsia="仿宋_GB2312" w:cs="仿宋_GB2312"/>
          <w:spacing w:val="4"/>
          <w:position w:val="1"/>
          <w:sz w:val="32"/>
          <w:szCs w:val="32"/>
        </w:rPr>
        <w:t>0</w:t>
      </w:r>
      <w:r>
        <w:rPr>
          <w:rStyle w:val="5"/>
          <w:rFonts w:hint="eastAsia" w:ascii="仿宋_GB2312" w:hAnsi="仿宋_GB2312" w:eastAsia="仿宋_GB2312" w:cs="仿宋_GB2312"/>
          <w:spacing w:val="8"/>
          <w:w w:val="99"/>
          <w:sz w:val="32"/>
          <w:szCs w:val="32"/>
          <w:lang w:val="en-US" w:bidi="ar-SA"/>
        </w:rPr>
        <w:drawing>
          <wp:inline distT="0" distB="0" distL="0" distR="0">
            <wp:extent cx="85725" cy="155575"/>
            <wp:effectExtent l="0" t="0" r="0" b="0"/>
            <wp:docPr id="102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_x0000_t75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8" cy="15567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仿宋_GB2312" w:hAnsi="仿宋_GB2312" w:eastAsia="仿宋_GB2312" w:cs="仿宋_GB2312"/>
          <w:spacing w:val="8"/>
          <w:w w:val="99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baseline"/>
        <w:outlineLvl w:val="9"/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九、其他事项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以院校为单位组成代表队参加比赛。不接受以个人名义参赛。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参赛对象为各高等院校在职教师。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各院校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应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组织校级选拔和评选，再择优推荐。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</w:rPr>
        <w:t>本次大赛最终进入决赛圈的作品，根据参赛作品主题进行模块整理，形成就业创工业的资源共享课程，课程归属于省教育厅，各高校均可资源共享，在课堂教学中引用和使用。</w:t>
      </w: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联系人：学生工作处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生强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0931-8721939 </w:t>
      </w: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8" w:leftChars="290" w:hanging="1280" w:hangingChars="400"/>
        <w:jc w:val="left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pacing w:val="-23"/>
          <w:sz w:val="32"/>
          <w:szCs w:val="32"/>
          <w:lang w:val="en-US" w:eastAsia="zh-CN" w:bidi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Style w:val="5"/>
          <w:rFonts w:hint="eastAsia" w:ascii="仿宋_GB2312" w:hAnsi="仿宋_GB2312" w:eastAsia="仿宋_GB2312" w:cs="仿宋_GB2312"/>
          <w:spacing w:val="-23"/>
          <w:sz w:val="32"/>
          <w:szCs w:val="32"/>
          <w:lang w:val="en-US" w:eastAsia="zh-CN" w:bidi="zh-CN"/>
        </w:rPr>
        <w:t>甘肃省第二届高等院校就业创业课程案例设计大赛评分</w:t>
      </w: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869" w:leftChars="725" w:hanging="274" w:hangingChars="100"/>
        <w:jc w:val="left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 w:bidi="zh-CN"/>
        </w:rPr>
      </w:pPr>
      <w:r>
        <w:rPr>
          <w:rStyle w:val="5"/>
          <w:rFonts w:hint="eastAsia" w:ascii="仿宋_GB2312" w:hAnsi="仿宋_GB2312" w:eastAsia="仿宋_GB2312" w:cs="仿宋_GB2312"/>
          <w:spacing w:val="-23"/>
          <w:sz w:val="32"/>
          <w:szCs w:val="32"/>
          <w:lang w:val="en-US" w:eastAsia="zh-CN" w:bidi="zh-CN"/>
        </w:rPr>
        <w:t>标准</w:t>
      </w: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0"/>
        <w:textAlignment w:val="baseline"/>
        <w:outlineLvl w:val="9"/>
        <w:rPr>
          <w:rStyle w:val="5"/>
          <w:rFonts w:ascii="宋体" w:hAnsi="宋体" w:eastAsia="宋体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0"/>
        <w:textAlignment w:val="baseline"/>
        <w:outlineLvl w:val="9"/>
        <w:rPr>
          <w:rStyle w:val="5"/>
          <w:rFonts w:ascii="宋体" w:hAnsi="宋体" w:eastAsia="宋体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0"/>
        <w:textAlignment w:val="baseline"/>
        <w:outlineLvl w:val="9"/>
        <w:rPr>
          <w:rStyle w:val="5"/>
          <w:rFonts w:ascii="宋体" w:hAnsi="宋体" w:eastAsia="宋体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0"/>
        <w:textAlignment w:val="baseline"/>
        <w:outlineLvl w:val="9"/>
        <w:rPr>
          <w:rStyle w:val="5"/>
          <w:rFonts w:ascii="宋体" w:hAnsi="宋体" w:eastAsia="宋体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0"/>
        <w:textAlignment w:val="baseline"/>
        <w:outlineLvl w:val="9"/>
        <w:rPr>
          <w:rStyle w:val="5"/>
          <w:rFonts w:ascii="宋体" w:hAnsi="宋体" w:eastAsia="宋体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0"/>
        <w:textAlignment w:val="baseline"/>
        <w:outlineLvl w:val="9"/>
        <w:rPr>
          <w:rStyle w:val="5"/>
          <w:rFonts w:ascii="宋体" w:hAnsi="宋体" w:eastAsia="宋体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800" w:firstLineChars="15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甘肃省教育厅</w:t>
      </w: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2021年9月22日</w:t>
      </w: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082" w:firstLine="4480" w:firstLineChars="140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rPr>
          <w:rFonts w:ascii="黑体" w:hAnsi="黑体" w:eastAsia="黑体" w:cs="Times New Roman"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52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sz w:val="36"/>
          <w:szCs w:val="36"/>
          <w:lang w:val="zh-TW" w:eastAsia="zh-TW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val="zh-TW" w:eastAsia="zh-CN"/>
        </w:rPr>
        <w:t>甘肃省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zh-TW" w:eastAsia="zh-TW"/>
        </w:rPr>
        <w:t>第二届高等院校就业创业课程案例设计大赛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520" w:lineRule="exact"/>
        <w:jc w:val="center"/>
        <w:textAlignment w:val="auto"/>
        <w:outlineLvl w:val="9"/>
        <w:rPr>
          <w:rFonts w:ascii="Times New Roman" w:hAnsi="Times New Roman" w:eastAsia="方正小标宋简体" w:cs="Times New Roman"/>
          <w:sz w:val="36"/>
          <w:szCs w:val="36"/>
          <w:lang w:val="zh-TW" w:eastAsia="zh-TW"/>
        </w:rPr>
      </w:pPr>
      <w:r>
        <w:rPr>
          <w:rFonts w:ascii="Times New Roman" w:hAnsi="Times New Roman" w:eastAsia="方正小标宋简体" w:cs="Times New Roman"/>
          <w:sz w:val="36"/>
          <w:szCs w:val="36"/>
          <w:lang w:val="zh-TW" w:eastAsia="zh-TW"/>
        </w:rPr>
        <w:t>评分标准</w:t>
      </w:r>
    </w:p>
    <w:tbl>
      <w:tblPr>
        <w:tblStyle w:val="2"/>
        <w:tblpPr w:leftFromText="180" w:rightFromText="180" w:vertAnchor="text" w:horzAnchor="page" w:tblpX="1951" w:tblpY="685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6395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评价维度</w:t>
            </w: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评价要点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教学理念</w:t>
            </w: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教学理念符合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就业创业工作实际及</w:t>
            </w:r>
            <w:r>
              <w:rPr>
                <w:rFonts w:hint="eastAsia" w:ascii="仿宋_GB2312" w:hAnsi="仿宋_GB2312" w:eastAsia="仿宋_GB2312" w:cs="仿宋_GB2312"/>
              </w:rPr>
              <w:t>课程要求，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注重问题导向，</w:t>
            </w:r>
            <w:r>
              <w:rPr>
                <w:rFonts w:hint="eastAsia" w:ascii="仿宋_GB2312" w:hAnsi="仿宋_GB2312" w:eastAsia="仿宋_GB2312" w:cs="仿宋_GB2312"/>
              </w:rPr>
              <w:t>体现立德树人思想和“学生中心、产出导向、持续改进”的教育教学理念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教学内容</w:t>
            </w: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具备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一定程度的</w:t>
            </w:r>
            <w:r>
              <w:rPr>
                <w:rFonts w:hint="eastAsia" w:ascii="仿宋_GB2312" w:hAnsi="仿宋_GB2312" w:eastAsia="仿宋_GB2312" w:cs="仿宋_GB2312"/>
              </w:rPr>
              <w:t>高阶性、创新性、挑战度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</w:rPr>
              <w:t xml:space="preserve">能够把握新时代下学生学习特点，充分利用现代信息技术手段开展课程教学活动和学习评价，使用质量高的教学资源。 </w:t>
            </w:r>
          </w:p>
        </w:tc>
        <w:tc>
          <w:tcPr>
            <w:tcW w:w="9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重点难点突出、逻辑合理、结构清晰。</w:t>
            </w:r>
          </w:p>
        </w:tc>
        <w:tc>
          <w:tcPr>
            <w:tcW w:w="9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课程思政目标得到实现，促进学生家国情怀、科学与人文精神的培养。</w:t>
            </w:r>
          </w:p>
        </w:tc>
        <w:tc>
          <w:tcPr>
            <w:tcW w:w="9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教学模式</w:t>
            </w: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注重以学生为中心创新教学，体现教师主导、学生主体。</w:t>
            </w:r>
          </w:p>
        </w:tc>
        <w:tc>
          <w:tcPr>
            <w:tcW w:w="9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教学目标科学、明确，重视学生发展需要，所有课堂活动与教学目标具有一致性。</w:t>
            </w:r>
          </w:p>
        </w:tc>
        <w:tc>
          <w:tcPr>
            <w:tcW w:w="9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教学组织有序，教学过程安排合理。创新教学方法与策略，调动学生积极性，师生互动充分。</w:t>
            </w:r>
          </w:p>
        </w:tc>
        <w:tc>
          <w:tcPr>
            <w:tcW w:w="9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合理有效运用现代信息技术，支撑教学创新。</w:t>
            </w:r>
          </w:p>
        </w:tc>
        <w:tc>
          <w:tcPr>
            <w:tcW w:w="9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考核评价的内容和方式创新。</w:t>
            </w:r>
          </w:p>
        </w:tc>
        <w:tc>
          <w:tcPr>
            <w:tcW w:w="9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教学效果</w:t>
            </w: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课堂讲授富有吸引力，课堂气氛融洽，学生思维活跃，深度参与课堂。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教师语言生动、流利，具有感染力和号召力。</w:t>
            </w:r>
          </w:p>
        </w:tc>
        <w:tc>
          <w:tcPr>
            <w:tcW w:w="9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学生知识、能力与素质得到了全面发展，有效激发学生的学习兴趣，培养了学生的自主学习能力。</w:t>
            </w:r>
          </w:p>
        </w:tc>
        <w:tc>
          <w:tcPr>
            <w:tcW w:w="9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教学风格突出、教学模式新颖、效果好，具有较大的借鉴和推广价值。</w:t>
            </w:r>
          </w:p>
        </w:tc>
        <w:tc>
          <w:tcPr>
            <w:tcW w:w="9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视频质量</w:t>
            </w: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教学视频清晰、流畅，能客观、真实反映教师和学生的教学过程常态。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总分</w:t>
            </w:r>
          </w:p>
        </w:tc>
        <w:tc>
          <w:tcPr>
            <w:tcW w:w="63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100分</w:t>
            </w:r>
          </w:p>
        </w:tc>
      </w:tr>
    </w:tbl>
    <w:p>
      <w:pPr>
        <w:pStyle w:val="13"/>
        <w:keepNext w:val="0"/>
        <w:keepLines w:val="0"/>
        <w:pageBreakBefore w:val="0"/>
        <w:widowControl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baseline"/>
        <w:outlineLvl w:val="9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1910" w:h="16840"/>
      <w:pgMar w:top="2041" w:right="1474" w:bottom="1871" w:left="1587" w:header="0" w:footer="101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spacing w:line="14" w:lineRule="auto"/>
      <w:ind w:left="0"/>
      <w:rPr>
        <w:rStyle w:val="5"/>
        <w:sz w:val="20"/>
      </w:rPr>
    </w:pPr>
    <w:r>
      <w:rPr>
        <w:sz w:val="20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eastAsia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 w:eastAsia="宋体"/>
                    <w:sz w:val="18"/>
                    <w:lang w:eastAsia="zh-CN"/>
                  </w:rPr>
                  <w:t>1</w: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spacing w:line="14" w:lineRule="auto"/>
      <w:ind w:left="0"/>
      <w:rPr>
        <w:rStyle w:val="5"/>
        <w:sz w:val="20"/>
      </w:rPr>
    </w:pPr>
    <w:r>
      <w:rPr>
        <w:sz w:val="20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eastAsia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 w:eastAsia="宋体"/>
                    <w:sz w:val="18"/>
                    <w:lang w:eastAsia="zh-CN"/>
                  </w:rPr>
                  <w:t>2</w: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720"/>
  <w:evenAndOddHeaders w:val="1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hdrShapeDefaults>
    <o:shapelayout v:ext="edit">
      <o:idmap v:ext="edit" data="3,4"/>
    </o:shapelayout>
  </w:hdrShapeDefaults>
  <w:compat>
    <w:spaceForUL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D217DB"/>
    <w:rsid w:val="000C4939"/>
    <w:rsid w:val="00435841"/>
    <w:rsid w:val="00D217DB"/>
    <w:rsid w:val="00FF7E46"/>
    <w:rsid w:val="030A46C5"/>
    <w:rsid w:val="072F774E"/>
    <w:rsid w:val="09406D1C"/>
    <w:rsid w:val="112E0200"/>
    <w:rsid w:val="13481FFB"/>
    <w:rsid w:val="24D238CB"/>
    <w:rsid w:val="288B1C36"/>
    <w:rsid w:val="295238FA"/>
    <w:rsid w:val="2A334F2F"/>
    <w:rsid w:val="2CD27619"/>
    <w:rsid w:val="2F4829F4"/>
    <w:rsid w:val="31B1500D"/>
    <w:rsid w:val="32785CC7"/>
    <w:rsid w:val="3308415B"/>
    <w:rsid w:val="349E3435"/>
    <w:rsid w:val="37BA1653"/>
    <w:rsid w:val="39BE01A0"/>
    <w:rsid w:val="3DA406B5"/>
    <w:rsid w:val="3E856294"/>
    <w:rsid w:val="421A1021"/>
    <w:rsid w:val="45115B38"/>
    <w:rsid w:val="47436150"/>
    <w:rsid w:val="47CF5326"/>
    <w:rsid w:val="4C7E49E7"/>
    <w:rsid w:val="4D40328E"/>
    <w:rsid w:val="4DB1785D"/>
    <w:rsid w:val="4EB92A2B"/>
    <w:rsid w:val="4F1C4E1B"/>
    <w:rsid w:val="58076630"/>
    <w:rsid w:val="5A48611B"/>
    <w:rsid w:val="62696533"/>
    <w:rsid w:val="629F219A"/>
    <w:rsid w:val="65470427"/>
    <w:rsid w:val="664E3747"/>
    <w:rsid w:val="6656241B"/>
    <w:rsid w:val="68180B28"/>
    <w:rsid w:val="69443550"/>
    <w:rsid w:val="6A0D2AC3"/>
    <w:rsid w:val="6A2C574B"/>
    <w:rsid w:val="6AAD494D"/>
    <w:rsid w:val="6B054EAE"/>
    <w:rsid w:val="6B151655"/>
    <w:rsid w:val="6B982439"/>
    <w:rsid w:val="6BF463F1"/>
    <w:rsid w:val="6EF27856"/>
    <w:rsid w:val="7062374D"/>
    <w:rsid w:val="730C12F3"/>
    <w:rsid w:val="759F6826"/>
    <w:rsid w:val="777E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textAlignment w:val="baseline"/>
    </w:pPr>
    <w:rPr>
      <w:rFonts w:ascii="Arial Unicode MS" w:hAnsi="Arial Unicode MS" w:eastAsia="Arial Unicode MS" w:cstheme="minorBidi"/>
      <w:sz w:val="22"/>
      <w:szCs w:val="22"/>
      <w:lang w:val="zh-CN" w:eastAsia="zh-CN" w:bidi="zh-CN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1"/>
    <w:basedOn w:val="1"/>
    <w:next w:val="1"/>
    <w:qFormat/>
    <w:uiPriority w:val="0"/>
    <w:pPr>
      <w:spacing w:before="57"/>
      <w:ind w:left="763"/>
    </w:pPr>
    <w:rPr>
      <w:rFonts w:ascii="仿宋" w:hAnsi="仿宋" w:eastAsia="仿宋" w:cs="仿宋"/>
      <w:b/>
      <w:bCs/>
      <w:sz w:val="32"/>
      <w:szCs w:val="32"/>
    </w:rPr>
  </w:style>
  <w:style w:type="character" w:customStyle="1" w:styleId="5">
    <w:name w:val="NormalCharacter"/>
    <w:qFormat/>
    <w:uiPriority w:val="0"/>
  </w:style>
  <w:style w:type="table" w:customStyle="1" w:styleId="6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UserStyle_0"/>
    <w:basedOn w:val="5"/>
    <w:link w:val="8"/>
    <w:qFormat/>
    <w:uiPriority w:val="0"/>
    <w:rPr>
      <w:rFonts w:ascii="Arial Unicode MS" w:hAnsi="Arial Unicode MS" w:eastAsia="Arial Unicode MS"/>
      <w:sz w:val="18"/>
      <w:szCs w:val="18"/>
      <w:lang w:val="zh-CN" w:bidi="zh-CN"/>
    </w:rPr>
  </w:style>
  <w:style w:type="paragraph" w:customStyle="1" w:styleId="8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9">
    <w:name w:val="UserStyle_1"/>
    <w:basedOn w:val="5"/>
    <w:link w:val="10"/>
    <w:qFormat/>
    <w:uiPriority w:val="0"/>
    <w:rPr>
      <w:rFonts w:ascii="Arial Unicode MS" w:hAnsi="Arial Unicode MS" w:eastAsia="Arial Unicode MS"/>
      <w:sz w:val="18"/>
      <w:szCs w:val="18"/>
      <w:lang w:val="zh-CN" w:bidi="zh-CN"/>
    </w:rPr>
  </w:style>
  <w:style w:type="paragraph" w:customStyle="1" w:styleId="10">
    <w:name w:val="Acetate"/>
    <w:basedOn w:val="1"/>
    <w:link w:val="9"/>
    <w:qFormat/>
    <w:uiPriority w:val="0"/>
    <w:rPr>
      <w:sz w:val="18"/>
      <w:szCs w:val="18"/>
    </w:rPr>
  </w:style>
  <w:style w:type="paragraph" w:customStyle="1" w:styleId="11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12">
    <w:name w:val="BodyText"/>
    <w:basedOn w:val="1"/>
    <w:qFormat/>
    <w:uiPriority w:val="0"/>
    <w:pPr>
      <w:ind w:left="120"/>
    </w:pPr>
    <w:rPr>
      <w:sz w:val="32"/>
      <w:szCs w:val="32"/>
    </w:rPr>
  </w:style>
  <w:style w:type="paragraph" w:customStyle="1" w:styleId="13">
    <w:name w:val="179"/>
    <w:basedOn w:val="1"/>
    <w:qFormat/>
    <w:uiPriority w:val="0"/>
    <w:pPr>
      <w:ind w:left="120" w:firstLine="645"/>
      <w:jc w:val="both"/>
    </w:pPr>
  </w:style>
  <w:style w:type="paragraph" w:customStyle="1" w:styleId="14">
    <w:name w:val="UserStyle_2"/>
    <w:basedOn w:val="1"/>
    <w:qFormat/>
    <w:uiPriority w:val="0"/>
  </w:style>
  <w:style w:type="table" w:customStyle="1" w:styleId="15">
    <w:name w:val="UserStyle_3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201</Words>
  <Characters>1152</Characters>
  <Lines>9</Lines>
  <Paragraphs>2</Paragraphs>
  <TotalTime>4</TotalTime>
  <ScaleCrop>false</ScaleCrop>
  <LinksUpToDate>false</LinksUpToDate>
  <CharactersWithSpaces>1351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2020-03-16T15:18:00Z</dcterms:created>
  <dc:creator>WPS Office</dc:creator>
  <cp:lastModifiedBy>窦某个儿</cp:lastModifiedBy>
  <dcterms:modified xsi:type="dcterms:W3CDTF">2021-10-08T09:52:05Z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EE5E269DB7904466A640E621FFCFBD19</vt:lpwstr>
  </property>
</Properties>
</file>