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before="18" w:line="580" w:lineRule="exact"/>
        <w:ind w:left="0" w:right="120"/>
        <w:jc w:val="both"/>
        <w:rPr>
          <w:rStyle w:val="10"/>
          <w:rFonts w:ascii="宋体" w:hAnsi="宋体" w:eastAsia="宋体" w:cs="宋体"/>
          <w:b/>
          <w:bCs/>
          <w:spacing w:val="-2"/>
          <w:sz w:val="44"/>
          <w:szCs w:val="28"/>
          <w:lang w:val="en-US"/>
        </w:rPr>
      </w:pPr>
    </w:p>
    <w:p>
      <w:pPr>
        <w:pStyle w:val="17"/>
        <w:spacing w:line="580" w:lineRule="exact"/>
        <w:ind w:right="120"/>
        <w:jc w:val="center"/>
        <w:rPr>
          <w:rStyle w:val="10"/>
          <w:rFonts w:ascii="方正小标宋简体" w:hAnsi="方正小标宋简体" w:eastAsia="方正小标宋简体" w:cs="方正小标宋简体"/>
          <w:spacing w:val="-2"/>
          <w:sz w:val="44"/>
          <w:szCs w:val="28"/>
          <w:lang w:val="en-US"/>
        </w:rPr>
      </w:pPr>
      <w:r>
        <w:rPr>
          <w:rStyle w:val="10"/>
          <w:rFonts w:hint="eastAsia" w:ascii="方正小标宋简体" w:hAnsi="方正小标宋简体" w:eastAsia="方正小标宋简体" w:cs="方正小标宋简体"/>
          <w:spacing w:val="-2"/>
          <w:sz w:val="44"/>
          <w:szCs w:val="28"/>
          <w:lang w:val="en-US"/>
        </w:rPr>
        <w:t>甘肃省第三届高校就业创业课程案例设计</w:t>
      </w:r>
    </w:p>
    <w:p>
      <w:pPr>
        <w:pStyle w:val="17"/>
        <w:spacing w:line="580" w:lineRule="exact"/>
        <w:ind w:right="120"/>
        <w:jc w:val="center"/>
        <w:rPr>
          <w:rStyle w:val="10"/>
          <w:rFonts w:ascii="宋体" w:hAnsi="宋体" w:eastAsia="方正小标宋简体" w:cs="宋体"/>
          <w:b/>
          <w:bCs/>
          <w:spacing w:val="-2"/>
          <w:sz w:val="28"/>
          <w:szCs w:val="28"/>
          <w:lang w:val="en-US"/>
        </w:rPr>
      </w:pPr>
      <w:r>
        <w:rPr>
          <w:rStyle w:val="10"/>
          <w:rFonts w:hint="eastAsia" w:ascii="方正小标宋简体" w:hAnsi="方正小标宋简体" w:eastAsia="方正小标宋简体" w:cs="方正小标宋简体"/>
          <w:spacing w:val="-2"/>
          <w:sz w:val="44"/>
          <w:szCs w:val="28"/>
          <w:lang w:val="en-US"/>
        </w:rPr>
        <w:t>大赛方案</w:t>
      </w:r>
    </w:p>
    <w:p>
      <w:pPr>
        <w:pStyle w:val="17"/>
        <w:spacing w:line="580" w:lineRule="exact"/>
        <w:ind w:left="0" w:right="120"/>
        <w:jc w:val="both"/>
        <w:rPr>
          <w:rStyle w:val="10"/>
          <w:rFonts w:ascii="宋体" w:hAnsi="宋体" w:eastAsia="宋体"/>
          <w:spacing w:val="-2"/>
          <w:sz w:val="28"/>
          <w:szCs w:val="28"/>
          <w:lang w:val="en-US"/>
        </w:rPr>
      </w:pP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仿宋_GB2312" w:hAnsi="仿宋_GB2312" w:eastAsia="仿宋_GB2312" w:cs="仿宋_GB2312"/>
          <w:color w:val="000000" w:themeColor="text1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color w:val="000000" w:themeColor="text1"/>
          <w:lang w:val="en-US"/>
        </w:rPr>
        <w:t>为积极推动我省高校就业课程建设、提升教育教学质量、提高师资队伍整体水平，打造我省就业创业“名师金课”，全面展示近年来高校就业创业指导课程建设成果，发挥示范带动作用，有力促进我省高校毕业生高质量充分就业，省教育厅决定举办“甘肃省第三届高等院校就业创业课程案例设计大赛”。现将有关事项通知如下：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黑体" w:hAnsi="黑体" w:eastAsia="黑体" w:cs="黑体"/>
        </w:rPr>
      </w:pPr>
      <w:r>
        <w:rPr>
          <w:rStyle w:val="10"/>
          <w:rFonts w:hint="eastAsia" w:ascii="黑体" w:hAnsi="黑体" w:eastAsia="黑体" w:cs="黑体"/>
        </w:rPr>
        <w:t>一、大赛组织</w:t>
      </w:r>
    </w:p>
    <w:p>
      <w:pPr>
        <w:spacing w:line="580" w:lineRule="exact"/>
        <w:ind w:firstLine="632" w:firstLineChars="200"/>
        <w:rPr>
          <w:rStyle w:val="10"/>
          <w:rFonts w:ascii="仿宋_GB2312" w:hAnsi="仿宋_GB2312" w:eastAsia="仿宋_GB2312" w:cs="仿宋_GB2312"/>
          <w:spacing w:val="-2"/>
          <w:sz w:val="32"/>
          <w:szCs w:val="32"/>
        </w:rPr>
      </w:pPr>
      <w:r>
        <w:rPr>
          <w:rStyle w:val="10"/>
          <w:rFonts w:hint="eastAsia" w:ascii="楷体" w:hAnsi="楷体" w:eastAsia="楷体" w:cs="仿宋_GB2312"/>
          <w:spacing w:val="-2"/>
          <w:sz w:val="32"/>
          <w:szCs w:val="32"/>
        </w:rPr>
        <w:t>主办单位：</w:t>
      </w:r>
      <w:r>
        <w:rPr>
          <w:rStyle w:val="10"/>
          <w:rFonts w:hint="eastAsia" w:ascii="仿宋_GB2312" w:hAnsi="仿宋_GB2312" w:eastAsia="仿宋_GB2312" w:cs="仿宋_GB2312"/>
          <w:spacing w:val="-2"/>
          <w:sz w:val="32"/>
          <w:szCs w:val="32"/>
        </w:rPr>
        <w:t>甘肃省教育厅</w:t>
      </w:r>
    </w:p>
    <w:p>
      <w:pPr>
        <w:spacing w:line="580" w:lineRule="exact"/>
        <w:ind w:firstLine="632" w:firstLineChars="200"/>
        <w:rPr>
          <w:rFonts w:eastAsia="仿宋_GB2312"/>
        </w:rPr>
      </w:pPr>
      <w:r>
        <w:rPr>
          <w:rStyle w:val="10"/>
          <w:rFonts w:hint="eastAsia" w:ascii="楷体" w:hAnsi="楷体" w:eastAsia="楷体" w:cs="仿宋_GB2312"/>
          <w:spacing w:val="-2"/>
          <w:sz w:val="32"/>
          <w:szCs w:val="32"/>
        </w:rPr>
        <w:t>承办单位：</w:t>
      </w:r>
      <w:r>
        <w:rPr>
          <w:rStyle w:val="10"/>
          <w:rFonts w:hint="eastAsia" w:ascii="仿宋_GB2312" w:hAnsi="仿宋_GB2312" w:eastAsia="仿宋_GB2312" w:cs="仿宋_GB2312"/>
          <w:spacing w:val="-2"/>
          <w:sz w:val="32"/>
          <w:szCs w:val="32"/>
        </w:rPr>
        <w:t>西北师范大学</w:t>
      </w:r>
    </w:p>
    <w:p>
      <w:pPr>
        <w:pStyle w:val="17"/>
        <w:spacing w:line="580" w:lineRule="exact"/>
        <w:ind w:left="0" w:right="48" w:rightChars="22" w:firstLine="640" w:firstLineChars="200"/>
        <w:rPr>
          <w:rStyle w:val="10"/>
          <w:rFonts w:ascii="黑体" w:hAnsi="黑体" w:eastAsia="黑体" w:cs="黑体"/>
          <w:lang w:val="en-US"/>
        </w:rPr>
      </w:pPr>
      <w:r>
        <w:rPr>
          <w:rStyle w:val="10"/>
          <w:rFonts w:hint="eastAsia" w:ascii="黑体" w:hAnsi="黑体" w:eastAsia="黑体" w:cs="黑体"/>
        </w:rPr>
        <w:t>二、大赛时间和</w:t>
      </w:r>
      <w:r>
        <w:rPr>
          <w:rStyle w:val="10"/>
          <w:rFonts w:hint="eastAsia" w:ascii="黑体" w:hAnsi="黑体" w:eastAsia="黑体" w:cs="黑体"/>
          <w:lang w:val="en-US"/>
        </w:rPr>
        <w:t>形式</w:t>
      </w:r>
    </w:p>
    <w:p>
      <w:pPr>
        <w:pStyle w:val="17"/>
        <w:spacing w:line="580" w:lineRule="exact"/>
        <w:ind w:left="0" w:right="48" w:rightChars="22" w:firstLine="664" w:firstLineChars="200"/>
        <w:rPr>
          <w:rStyle w:val="10"/>
          <w:rFonts w:ascii="仿宋_GB2312" w:hAnsi="仿宋_GB2312" w:eastAsia="仿宋_GB2312" w:cs="仿宋_GB2312"/>
          <w:lang w:val="en-US"/>
        </w:rPr>
      </w:pPr>
      <w:r>
        <w:rPr>
          <w:rStyle w:val="10"/>
          <w:rFonts w:hint="eastAsia" w:ascii="楷体" w:hAnsi="楷体" w:eastAsia="楷体" w:cs="仿宋_GB2312"/>
          <w:spacing w:val="6"/>
        </w:rPr>
        <w:t>时间：</w:t>
      </w:r>
      <w:r>
        <w:rPr>
          <w:rFonts w:hint="eastAsia" w:ascii="仿宋_GB2312" w:hAnsi="仿宋_GB2312" w:eastAsia="仿宋_GB2312" w:cs="仿宋_GB2312"/>
          <w:bCs/>
        </w:rPr>
        <w:t>大赛平台将在</w:t>
      </w:r>
      <w:r>
        <w:rPr>
          <w:rFonts w:hint="eastAsia" w:ascii="仿宋_GB2312" w:hAnsi="仿宋_GB2312" w:eastAsia="仿宋_GB2312" w:cs="仿宋_GB2312"/>
          <w:bCs/>
          <w:lang w:val="en-US"/>
        </w:rPr>
        <w:t>11月20日起开放报名通道，</w:t>
      </w:r>
      <w:r>
        <w:rPr>
          <w:rStyle w:val="10"/>
          <w:rFonts w:hint="eastAsia" w:ascii="仿宋_GB2312" w:hAnsi="仿宋_GB2312" w:eastAsia="仿宋_GB2312" w:cs="仿宋_GB2312"/>
        </w:rPr>
        <w:t>各校参赛作品传送时间截止</w:t>
      </w:r>
      <w:r>
        <w:rPr>
          <w:rStyle w:val="10"/>
          <w:rFonts w:hint="eastAsia" w:ascii="仿宋_GB2312" w:hAnsi="仿宋_GB2312" w:eastAsia="仿宋_GB2312" w:cs="仿宋_GB2312"/>
          <w:lang w:val="en-US"/>
        </w:rPr>
        <w:t>12月</w:t>
      </w:r>
      <w:r>
        <w:rPr>
          <w:rStyle w:val="10"/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Style w:val="10"/>
          <w:rFonts w:hint="eastAsia" w:ascii="仿宋_GB2312" w:hAnsi="仿宋_GB2312" w:eastAsia="仿宋_GB2312" w:cs="仿宋_GB2312"/>
          <w:lang w:val="en-US"/>
        </w:rPr>
        <w:t>日。</w:t>
      </w:r>
    </w:p>
    <w:p>
      <w:pPr>
        <w:spacing w:line="580" w:lineRule="exact"/>
        <w:ind w:right="48" w:rightChars="22" w:firstLine="664" w:firstLineChars="200"/>
        <w:rPr>
          <w:rStyle w:val="10"/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楷体" w:hAnsi="楷体" w:eastAsia="楷体" w:cs="仿宋_GB2312"/>
          <w:spacing w:val="6"/>
          <w:sz w:val="32"/>
          <w:szCs w:val="32"/>
        </w:rPr>
        <w:t>形式：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网络参赛，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报名链接https://jycypt.nwnu.edu.cn，具体流程后续下发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bookmarkStart w:id="0" w:name="_GoBack"/>
      <w:bookmarkEnd w:id="0"/>
    </w:p>
    <w:p>
      <w:pPr>
        <w:spacing w:line="580" w:lineRule="exact"/>
        <w:ind w:right="48" w:rightChars="22" w:firstLine="664" w:firstLineChars="200"/>
        <w:rPr>
          <w:rStyle w:val="10"/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楷体" w:hAnsi="楷体" w:eastAsia="楷体" w:cs="仿宋_GB2312"/>
          <w:spacing w:val="6"/>
          <w:sz w:val="32"/>
          <w:szCs w:val="32"/>
        </w:rPr>
        <w:t>组别：</w:t>
      </w:r>
      <w:r>
        <w:rPr>
          <w:rStyle w:val="10"/>
          <w:rFonts w:hint="eastAsia" w:ascii="仿宋_GB2312" w:hAnsi="仿宋_GB2312" w:eastAsia="仿宋_GB2312" w:cs="仿宋_GB2312"/>
          <w:spacing w:val="6"/>
          <w:sz w:val="32"/>
          <w:szCs w:val="32"/>
          <w:lang w:val="en-US"/>
        </w:rPr>
        <w:t>本次大赛分设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本科组、高职高专组。</w:t>
      </w:r>
    </w:p>
    <w:p>
      <w:pPr>
        <w:pStyle w:val="17"/>
        <w:spacing w:line="580" w:lineRule="exact"/>
        <w:ind w:left="0" w:right="48" w:rightChars="22" w:firstLine="640" w:firstLineChars="200"/>
        <w:rPr>
          <w:rStyle w:val="10"/>
          <w:rFonts w:ascii="宋体" w:hAnsi="宋体" w:eastAsia="宋体" w:cs="宋体"/>
          <w:b/>
          <w:bCs/>
        </w:rPr>
      </w:pPr>
      <w:r>
        <w:rPr>
          <w:rStyle w:val="10"/>
          <w:rFonts w:hint="eastAsia" w:ascii="黑体" w:hAnsi="黑体" w:eastAsia="黑体" w:cs="黑体"/>
          <w:lang w:val="en-US"/>
        </w:rPr>
        <w:t>三、</w:t>
      </w:r>
      <w:r>
        <w:rPr>
          <w:rStyle w:val="10"/>
          <w:rFonts w:hint="eastAsia" w:ascii="黑体" w:hAnsi="黑体" w:eastAsia="黑体" w:cs="黑体"/>
        </w:rPr>
        <w:t>参赛对象</w:t>
      </w:r>
    </w:p>
    <w:p>
      <w:pPr>
        <w:pStyle w:val="17"/>
        <w:spacing w:line="580" w:lineRule="exact"/>
        <w:ind w:left="0" w:right="48" w:rightChars="22" w:firstLine="640" w:firstLineChars="200"/>
        <w:rPr>
          <w:rStyle w:val="10"/>
          <w:rFonts w:ascii="仿宋_GB2312" w:hAnsi="仿宋_GB2312" w:eastAsia="仿宋_GB2312" w:cs="仿宋_GB2312"/>
        </w:rPr>
      </w:pPr>
      <w:r>
        <w:rPr>
          <w:rStyle w:val="10"/>
          <w:rFonts w:hint="eastAsia" w:ascii="仿宋_GB2312" w:hAnsi="仿宋_GB2312" w:eastAsia="仿宋_GB2312" w:cs="仿宋_GB2312"/>
        </w:rPr>
        <w:t>全省</w:t>
      </w:r>
      <w:r>
        <w:rPr>
          <w:rStyle w:val="10"/>
          <w:rFonts w:hint="eastAsia" w:ascii="仿宋_GB2312" w:hAnsi="仿宋_GB2312" w:eastAsia="仿宋_GB2312" w:cs="仿宋_GB2312"/>
          <w:lang w:val="en-US"/>
        </w:rPr>
        <w:t>高</w:t>
      </w:r>
      <w:r>
        <w:rPr>
          <w:rStyle w:val="10"/>
          <w:rFonts w:hint="eastAsia" w:ascii="仿宋_GB2312" w:hAnsi="仿宋_GB2312" w:eastAsia="仿宋_GB2312" w:cs="仿宋_GB2312"/>
        </w:rPr>
        <w:t>校</w:t>
      </w:r>
      <w:r>
        <w:rPr>
          <w:rStyle w:val="10"/>
          <w:rFonts w:hint="eastAsia" w:ascii="仿宋_GB2312" w:hAnsi="仿宋_GB2312" w:eastAsia="仿宋_GB2312" w:cs="仿宋_GB2312"/>
          <w:lang w:val="en-US"/>
        </w:rPr>
        <w:t>职业生涯教育及就业创业课程在职教师（个人或团队（团队成员不多于3人））</w:t>
      </w:r>
      <w:r>
        <w:rPr>
          <w:rStyle w:val="10"/>
          <w:rFonts w:hint="eastAsia" w:ascii="仿宋_GB2312" w:hAnsi="仿宋_GB2312" w:eastAsia="仿宋_GB2312" w:cs="仿宋_GB2312"/>
        </w:rPr>
        <w:t>。</w:t>
      </w:r>
    </w:p>
    <w:p>
      <w:pPr>
        <w:pStyle w:val="17"/>
        <w:spacing w:line="580" w:lineRule="exact"/>
        <w:ind w:left="0" w:right="48" w:rightChars="22" w:firstLine="632" w:firstLineChars="200"/>
        <w:rPr>
          <w:rStyle w:val="10"/>
          <w:rFonts w:ascii="宋体" w:hAnsi="宋体" w:eastAsia="宋体" w:cs="宋体"/>
          <w:b/>
          <w:bCs/>
          <w:spacing w:val="-2"/>
          <w:lang w:val="en-US"/>
        </w:rPr>
      </w:pPr>
      <w:r>
        <w:rPr>
          <w:rStyle w:val="10"/>
          <w:rFonts w:hint="eastAsia" w:ascii="黑体" w:hAnsi="黑体" w:eastAsia="黑体" w:cs="黑体"/>
          <w:spacing w:val="-2"/>
          <w:lang w:val="en-US"/>
        </w:rPr>
        <w:t>四、大赛要求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仿宋_GB2312" w:hAnsi="仿宋_GB2312" w:eastAsia="仿宋_GB2312" w:cs="仿宋_GB2312"/>
          <w:spacing w:val="-4"/>
        </w:rPr>
      </w:pPr>
      <w:r>
        <w:rPr>
          <w:rStyle w:val="10"/>
          <w:rFonts w:hint="eastAsia" w:ascii="仿宋_GB2312" w:hAnsi="仿宋_GB2312" w:eastAsia="仿宋_GB2312" w:cs="仿宋_GB2312"/>
          <w:lang w:val="en-US"/>
        </w:rPr>
        <w:t>（一）结合本校就业创业工作的实际情况，重点考察针对就业创业课程在教学体系中的定位、</w:t>
      </w:r>
      <w:r>
        <w:rPr>
          <w:rStyle w:val="10"/>
          <w:rFonts w:hint="eastAsia" w:ascii="仿宋_GB2312" w:hAnsi="仿宋_GB2312" w:eastAsia="仿宋_GB2312" w:cs="仿宋_GB2312"/>
        </w:rPr>
        <w:t>教学设计、课堂实施、目标达成、改进</w:t>
      </w:r>
      <w:r>
        <w:rPr>
          <w:rStyle w:val="10"/>
          <w:rFonts w:hint="eastAsia" w:ascii="仿宋_GB2312" w:hAnsi="仿宋_GB2312" w:eastAsia="仿宋_GB2312" w:cs="仿宋_GB2312"/>
          <w:lang w:val="en-US"/>
        </w:rPr>
        <w:t>措施</w:t>
      </w:r>
      <w:r>
        <w:rPr>
          <w:rStyle w:val="10"/>
          <w:rFonts w:hint="eastAsia" w:ascii="仿宋_GB2312" w:hAnsi="仿宋_GB2312" w:eastAsia="仿宋_GB2312" w:cs="仿宋_GB2312"/>
        </w:rPr>
        <w:t>的能力。</w:t>
      </w:r>
      <w:r>
        <w:rPr>
          <w:rStyle w:val="10"/>
          <w:rFonts w:hint="eastAsia" w:ascii="仿宋_GB2312" w:hAnsi="仿宋_GB2312" w:eastAsia="仿宋_GB2312" w:cs="仿宋_GB2312"/>
          <w:spacing w:val="-4"/>
        </w:rPr>
        <w:t>明确说明课程教学解决了教学中的哪些“痛点”问题，注重问题导向；突出课程教学改革过程中贯彻“以学生为中心”的教育理念，全面反映提升课程教学质量的思路、举措、效果及反思，注重多种教学模式和方法在课堂教学中的应用；通过基于数据、案例等证据的可靠分析，说明问题解决的情况和效果，并分析其推广应用的价值。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仿宋_GB2312" w:hAnsi="仿宋_GB2312" w:eastAsia="仿宋_GB2312" w:cs="仿宋_GB231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lang w:val="en-US"/>
        </w:rPr>
        <w:t>（二）参赛选手或团队应遵循高等教育规律，教学目的明确，教学思路清晰，教学内容充实；教学过程组织合理，方法运用恰当有效；文字表达准确规范、条理清楚、逻辑性强。既符合大纲要求，又紧密联系实际。注重全面传授就业创业知识，引导学生正确理解就业创业，结合学校办学定位、专业特色和学生需要分类施教，突出就业创业实践丰富教学内容，增强教学的开放性、互动性和实效性</w:t>
      </w:r>
      <w:r>
        <w:rPr>
          <w:rStyle w:val="10"/>
          <w:rFonts w:hint="eastAsia" w:ascii="仿宋_GB2312" w:hAnsi="仿宋_GB2312" w:eastAsia="仿宋_GB2312" w:cs="仿宋_GB2312"/>
          <w:spacing w:val="-2"/>
        </w:rPr>
        <w:t>。</w:t>
      </w:r>
      <w:r>
        <w:rPr>
          <w:rStyle w:val="10"/>
          <w:rFonts w:hint="eastAsia" w:ascii="仿宋_GB2312" w:hAnsi="仿宋_GB2312" w:eastAsia="仿宋_GB2312" w:cs="仿宋_GB2312"/>
          <w:lang w:val="en-US"/>
        </w:rPr>
        <w:t>注重利用虚拟仿真资源解决就业创业实践应用能力。</w:t>
      </w:r>
    </w:p>
    <w:p>
      <w:pPr>
        <w:pStyle w:val="17"/>
        <w:spacing w:line="580" w:lineRule="exact"/>
        <w:ind w:left="0" w:right="48" w:rightChars="22" w:firstLine="632" w:firstLineChars="200"/>
        <w:jc w:val="both"/>
        <w:rPr>
          <w:rStyle w:val="10"/>
          <w:rFonts w:ascii="仿宋_GB2312" w:hAnsi="仿宋_GB2312" w:eastAsia="仿宋_GB2312" w:cs="仿宋_GB231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pacing w:val="-2"/>
          <w:lang w:val="en-US"/>
        </w:rPr>
        <w:t>（三）</w:t>
      </w:r>
      <w:r>
        <w:rPr>
          <w:rStyle w:val="10"/>
          <w:rFonts w:hint="eastAsia" w:ascii="仿宋_GB2312" w:hAnsi="仿宋_GB2312" w:eastAsia="仿宋_GB2312" w:cs="仿宋_GB2312"/>
          <w:lang w:val="en-US"/>
        </w:rPr>
        <w:t>参赛选手或团队要坚持立德树人根本，推进全员全过程全方位的“三全育人”，实现思想政治教育与专业技术、职业能力培养的有机统一。要以课程体系建设为基础，夯实就业根基，要以多方联动为渠道，实现就业育才。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黑体" w:hAnsi="黑体" w:eastAsia="黑体" w:cs="黑体"/>
        </w:rPr>
      </w:pPr>
      <w:r>
        <w:rPr>
          <w:rStyle w:val="10"/>
          <w:rFonts w:hint="eastAsia" w:ascii="黑体" w:hAnsi="黑体" w:eastAsia="黑体" w:cs="黑体"/>
        </w:rPr>
        <w:t>五、</w:t>
      </w:r>
      <w:r>
        <w:rPr>
          <w:rStyle w:val="10"/>
          <w:rFonts w:hint="eastAsia" w:ascii="黑体" w:hAnsi="黑体" w:eastAsia="黑体" w:cs="黑体"/>
          <w:lang w:val="en-US"/>
        </w:rPr>
        <w:t>参赛内容</w:t>
      </w:r>
      <w:r>
        <w:rPr>
          <w:rStyle w:val="10"/>
          <w:rFonts w:hint="eastAsia" w:ascii="黑体" w:hAnsi="黑体" w:eastAsia="黑体" w:cs="黑体"/>
        </w:rPr>
        <w:t>及参赛名额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仿宋_GB2312" w:hAnsi="仿宋_GB2312" w:eastAsia="仿宋_GB2312" w:cs="仿宋_GB231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lang w:val="en-US"/>
        </w:rPr>
        <w:t>各高校推荐参赛作品不少于3个，主题用案例形式从以下五个模块选取：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仿宋_GB2312" w:hAnsi="仿宋_GB2312" w:eastAsia="仿宋_GB2312" w:cs="仿宋_GB231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lang w:val="en-US"/>
        </w:rPr>
        <w:t>1.疫情影响下，就业形势与职业发展方向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仿宋_GB2312" w:hAnsi="仿宋_GB2312" w:eastAsia="仿宋_GB2312" w:cs="仿宋_GB231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lang w:val="en-US"/>
        </w:rPr>
        <w:t>2.职业生涯规划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仿宋_GB2312" w:hAnsi="仿宋_GB2312" w:eastAsia="仿宋_GB2312" w:cs="仿宋_GB231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lang w:val="en-US"/>
        </w:rPr>
        <w:t>3.就业指导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仿宋_GB2312" w:hAnsi="仿宋_GB2312" w:eastAsia="仿宋_GB2312" w:cs="仿宋_GB231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lang w:val="en-US"/>
        </w:rPr>
        <w:t>4.就业创业指导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仿宋_GB2312" w:hAnsi="仿宋_GB2312" w:eastAsia="仿宋_GB2312" w:cs="仿宋_GB231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lang w:val="en-US"/>
        </w:rPr>
        <w:t>5.重点群体就业创业指导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黑体" w:hAnsi="黑体" w:eastAsia="黑体" w:cs="黑体"/>
        </w:rPr>
      </w:pPr>
      <w:r>
        <w:rPr>
          <w:rStyle w:val="10"/>
          <w:rFonts w:hint="eastAsia" w:ascii="黑体" w:hAnsi="黑体" w:eastAsia="黑体" w:cs="黑体"/>
        </w:rPr>
        <w:t>六、参赛作品及评分办法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楷体" w:hAnsi="楷体" w:eastAsia="楷体" w:cs="仿宋_GB2312"/>
        </w:rPr>
      </w:pPr>
      <w:r>
        <w:rPr>
          <w:rStyle w:val="10"/>
          <w:rFonts w:hint="eastAsia" w:ascii="楷体" w:hAnsi="楷体" w:eastAsia="楷体" w:cs="仿宋_GB2312"/>
        </w:rPr>
        <w:t>（一）参赛作品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仿宋_GB2312" w:hAnsi="仿宋_GB2312" w:eastAsia="仿宋_GB2312" w:cs="仿宋_GB231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lang w:val="en-US"/>
        </w:rPr>
        <w:t>1.教学团队或个人根据选取的模块，完成相关教学任务作为参赛作品；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lang w:val="en-US"/>
        </w:rPr>
        <w:t>参赛作品无</w:t>
      </w:r>
      <w:r>
        <w:rPr>
          <w:rStyle w:val="10"/>
          <w:rFonts w:hint="eastAsia" w:ascii="仿宋_GB2312" w:hAnsi="仿宋_GB2312" w:eastAsia="仿宋_GB2312" w:cs="仿宋_GB2312"/>
          <w:lang w:val="en-US"/>
        </w:rPr>
        <w:t>侵犯他人知识产权内容；往届已参赛作品不得重复提交。</w:t>
      </w:r>
    </w:p>
    <w:p>
      <w:pPr>
        <w:pStyle w:val="17"/>
        <w:spacing w:line="580" w:lineRule="exact"/>
        <w:ind w:left="0" w:right="48" w:rightChars="22" w:firstLine="640" w:firstLineChars="200"/>
        <w:jc w:val="both"/>
        <w:rPr>
          <w:rStyle w:val="10"/>
          <w:rFonts w:ascii="宋体" w:hAnsi="宋体" w:eastAsia="宋体"/>
        </w:rPr>
      </w:pPr>
      <w:r>
        <w:rPr>
          <w:rStyle w:val="10"/>
          <w:rFonts w:hint="eastAsia" w:ascii="仿宋_GB2312" w:hAnsi="仿宋_GB2312" w:eastAsia="仿宋_GB2312" w:cs="仿宋_GB2312"/>
          <w:lang w:val="en-US"/>
        </w:rPr>
        <w:t>2.</w:t>
      </w:r>
      <w:r>
        <w:rPr>
          <w:rStyle w:val="10"/>
          <w:rFonts w:hint="eastAsia" w:ascii="仿宋_GB2312" w:hAnsi="仿宋_GB2312" w:eastAsia="仿宋_GB2312" w:cs="仿宋_GB2312"/>
        </w:rPr>
        <w:t>参赛作品提交材料包括教案、</w:t>
      </w:r>
      <w:r>
        <w:rPr>
          <w:rStyle w:val="10"/>
          <w:rFonts w:hint="eastAsia" w:ascii="仿宋_GB2312" w:hAnsi="仿宋_GB2312" w:eastAsia="仿宋_GB2312" w:cs="仿宋_GB2312"/>
          <w:lang w:val="en-US"/>
        </w:rPr>
        <w:t>PPT课件、</w:t>
      </w:r>
      <w:r>
        <w:rPr>
          <w:rStyle w:val="10"/>
          <w:rFonts w:hint="eastAsia" w:ascii="仿宋_GB2312" w:hAnsi="仿宋_GB2312" w:eastAsia="仿宋_GB2312" w:cs="仿宋_GB2312"/>
          <w:spacing w:val="-4"/>
        </w:rPr>
        <w:t>实录视频（个人</w:t>
      </w:r>
      <w:r>
        <w:rPr>
          <w:rStyle w:val="10"/>
          <w:rFonts w:hint="eastAsia" w:ascii="仿宋_GB2312" w:hAnsi="仿宋_GB2312" w:eastAsia="仿宋_GB2312" w:cs="仿宋_GB2312"/>
          <w:spacing w:val="-4"/>
          <w:lang w:val="en-US"/>
        </w:rPr>
        <w:t>10分钟以内，团队15分钟以内</w:t>
      </w:r>
      <w:r>
        <w:rPr>
          <w:rStyle w:val="10"/>
          <w:rFonts w:hint="eastAsia" w:ascii="仿宋_GB2312" w:hAnsi="仿宋_GB2312" w:eastAsia="仿宋_GB2312" w:cs="仿宋_GB2312"/>
          <w:spacing w:val="-4"/>
        </w:rPr>
        <w:t>）</w:t>
      </w:r>
      <w:r>
        <w:rPr>
          <w:rStyle w:val="10"/>
          <w:rFonts w:hint="eastAsia" w:ascii="仿宋_GB2312" w:hAnsi="仿宋_GB2312" w:eastAsia="仿宋_GB2312" w:cs="仿宋_GB2312"/>
        </w:rPr>
        <w:t>。实录视频约</w:t>
      </w:r>
      <w:r>
        <w:rPr>
          <w:rStyle w:val="10"/>
          <w:rFonts w:hint="eastAsia" w:ascii="仿宋_GB2312" w:hAnsi="仿宋_GB2312" w:eastAsia="仿宋_GB2312" w:cs="仿宋_GB2312"/>
          <w:lang w:val="en-US"/>
        </w:rPr>
        <w:t>8-10</w:t>
      </w:r>
      <w:r>
        <w:rPr>
          <w:rStyle w:val="10"/>
          <w:rFonts w:hint="eastAsia" w:ascii="仿宋_GB2312" w:hAnsi="仿宋_GB2312" w:eastAsia="仿宋_GB2312" w:cs="仿宋_GB2312"/>
        </w:rPr>
        <w:t>分钟的视频，格式标准文件采用 MP4格式，分辨率720P以上，每段视频文件大小不超过 1200MB，图像清晰稳定，声音清楚。</w:t>
      </w:r>
    </w:p>
    <w:p>
      <w:pPr>
        <w:pStyle w:val="9"/>
        <w:spacing w:before="0" w:line="580" w:lineRule="exact"/>
        <w:ind w:left="0" w:right="48" w:rightChars="22" w:firstLine="640" w:firstLineChars="200"/>
        <w:rPr>
          <w:rStyle w:val="10"/>
          <w:rFonts w:ascii="楷体" w:hAnsi="楷体" w:eastAsia="楷体" w:cs="仿宋_GB2312"/>
          <w:b w:val="0"/>
          <w:bCs w:val="0"/>
          <w:lang w:val="en-US"/>
        </w:rPr>
      </w:pPr>
      <w:r>
        <w:rPr>
          <w:rStyle w:val="10"/>
          <w:rFonts w:hint="eastAsia" w:ascii="楷体" w:hAnsi="楷体" w:eastAsia="楷体" w:cs="仿宋_GB2312"/>
          <w:b w:val="0"/>
          <w:bCs w:val="0"/>
          <w:lang w:val="en-US"/>
        </w:rPr>
        <w:t>（二）评分办法</w:t>
      </w:r>
    </w:p>
    <w:p>
      <w:pPr>
        <w:pStyle w:val="17"/>
        <w:spacing w:line="580" w:lineRule="exact"/>
        <w:ind w:right="48" w:rightChars="22" w:firstLine="640" w:firstLineChars="200"/>
        <w:rPr>
          <w:rStyle w:val="10"/>
          <w:rFonts w:ascii="仿宋_GB2312" w:hAnsi="仿宋_GB2312" w:eastAsia="仿宋_GB2312" w:cs="仿宋_GB231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lang w:val="en-US"/>
        </w:rPr>
        <w:t>详见附件。</w:t>
      </w:r>
    </w:p>
    <w:p>
      <w:pPr>
        <w:pStyle w:val="17"/>
        <w:spacing w:line="580" w:lineRule="exact"/>
        <w:ind w:left="0" w:right="48" w:rightChars="22" w:firstLine="640" w:firstLineChars="200"/>
        <w:rPr>
          <w:rStyle w:val="10"/>
          <w:rFonts w:ascii="黑体" w:hAnsi="黑体" w:eastAsia="黑体" w:cs="黑体"/>
        </w:rPr>
      </w:pPr>
      <w:r>
        <w:rPr>
          <w:rStyle w:val="10"/>
          <w:rFonts w:hint="eastAsia" w:ascii="黑体" w:hAnsi="黑体" w:eastAsia="黑体" w:cs="黑体"/>
        </w:rPr>
        <w:t>七、奖项设置</w:t>
      </w:r>
    </w:p>
    <w:p>
      <w:pPr>
        <w:spacing w:line="580" w:lineRule="exact"/>
        <w:ind w:firstLine="616" w:firstLineChars="200"/>
        <w:jc w:val="both"/>
        <w:rPr>
          <w:rStyle w:val="10"/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Style w:val="10"/>
          <w:rFonts w:hint="eastAsia" w:ascii="楷体" w:hAnsi="楷体" w:eastAsia="楷体" w:cs="仿宋_GB2312"/>
          <w:spacing w:val="-6"/>
          <w:sz w:val="32"/>
          <w:szCs w:val="32"/>
        </w:rPr>
        <w:t>（一）个人奖项。</w:t>
      </w:r>
      <w:r>
        <w:rPr>
          <w:rStyle w:val="10"/>
          <w:rFonts w:hint="eastAsia" w:ascii="仿宋_GB2312" w:hAnsi="仿宋_GB2312" w:eastAsia="仿宋_GB2312" w:cs="仿宋_GB2312"/>
          <w:spacing w:val="-6"/>
          <w:sz w:val="32"/>
          <w:szCs w:val="32"/>
        </w:rPr>
        <w:t>获奖比例分组别按参赛作品的10%、</w:t>
      </w:r>
      <w:r>
        <w:rPr>
          <w:rStyle w:val="10"/>
          <w:rFonts w:hint="eastAsia" w:ascii="仿宋_GB2312" w:hAnsi="仿宋_GB2312" w:eastAsia="仿宋_GB2312" w:cs="仿宋_GB2312"/>
          <w:spacing w:val="-6"/>
          <w:sz w:val="32"/>
          <w:szCs w:val="32"/>
          <w:lang w:val="en-US"/>
        </w:rPr>
        <w:t>1</w:t>
      </w:r>
      <w:r>
        <w:rPr>
          <w:rStyle w:val="10"/>
          <w:rFonts w:hint="eastAsia" w:ascii="仿宋_GB2312" w:hAnsi="仿宋_GB2312" w:eastAsia="仿宋_GB2312" w:cs="仿宋_GB2312"/>
          <w:spacing w:val="-6"/>
          <w:sz w:val="32"/>
          <w:szCs w:val="32"/>
        </w:rPr>
        <w:t>5%、</w:t>
      </w:r>
      <w:r>
        <w:rPr>
          <w:rStyle w:val="10"/>
          <w:rFonts w:hint="eastAsia" w:ascii="仿宋_GB2312" w:hAnsi="仿宋_GB2312" w:eastAsia="仿宋_GB2312" w:cs="仿宋_GB2312"/>
          <w:spacing w:val="-6"/>
          <w:sz w:val="32"/>
          <w:szCs w:val="32"/>
          <w:lang w:val="en-US"/>
        </w:rPr>
        <w:t>2</w:t>
      </w:r>
      <w:r>
        <w:rPr>
          <w:rStyle w:val="10"/>
          <w:rFonts w:hint="eastAsia" w:ascii="仿宋_GB2312" w:hAnsi="仿宋_GB2312" w:eastAsia="仿宋_GB2312" w:cs="仿宋_GB2312"/>
          <w:spacing w:val="-6"/>
          <w:sz w:val="32"/>
          <w:szCs w:val="32"/>
        </w:rPr>
        <w:t>0%设一、二、三等奖。</w:t>
      </w:r>
    </w:p>
    <w:p>
      <w:pPr>
        <w:spacing w:line="580" w:lineRule="exact"/>
        <w:ind w:firstLine="616" w:firstLineChars="200"/>
        <w:rPr>
          <w:rStyle w:val="10"/>
          <w:rFonts w:ascii="仿宋_GB2312" w:hAnsi="仿宋_GB2312" w:eastAsia="仿宋_GB2312" w:cs="仿宋_GB2312"/>
          <w:spacing w:val="8"/>
          <w:w w:val="99"/>
          <w:lang w:val="en-US"/>
        </w:rPr>
      </w:pPr>
      <w:r>
        <w:rPr>
          <w:rStyle w:val="10"/>
          <w:rFonts w:hint="eastAsia" w:ascii="楷体" w:hAnsi="楷体" w:eastAsia="楷体" w:cs="仿宋_GB2312"/>
          <w:spacing w:val="-6"/>
          <w:sz w:val="32"/>
          <w:szCs w:val="32"/>
        </w:rPr>
        <w:t>（二）集体奖项。</w:t>
      </w:r>
      <w:r>
        <w:rPr>
          <w:rStyle w:val="10"/>
          <w:rFonts w:hint="eastAsia" w:ascii="仿宋_GB2312" w:hAnsi="仿宋_GB2312" w:eastAsia="仿宋_GB2312" w:cs="仿宋_GB2312"/>
          <w:spacing w:val="-6"/>
          <w:sz w:val="32"/>
          <w:szCs w:val="32"/>
        </w:rPr>
        <w:t>大赛为组织认真、参与范围广、成绩优秀的院校设优秀组织奖</w:t>
      </w:r>
      <w:r>
        <w:rPr>
          <w:rStyle w:val="10"/>
          <w:rFonts w:hint="eastAsia" w:ascii="仿宋_GB2312" w:hAnsi="仿宋_GB2312" w:eastAsia="仿宋_GB2312" w:cs="仿宋_GB2312"/>
          <w:spacing w:val="-6"/>
          <w:sz w:val="32"/>
          <w:szCs w:val="32"/>
          <w:lang w:val="en-US"/>
        </w:rPr>
        <w:t>3-5</w:t>
      </w:r>
      <w:r>
        <w:rPr>
          <w:rStyle w:val="10"/>
          <w:rFonts w:hint="eastAsia" w:ascii="仿宋_GB2312" w:hAnsi="仿宋_GB2312" w:eastAsia="仿宋_GB2312" w:cs="仿宋_GB2312"/>
          <w:spacing w:val="-6"/>
          <w:sz w:val="32"/>
          <w:szCs w:val="32"/>
        </w:rPr>
        <w:t>名。</w:t>
      </w:r>
    </w:p>
    <w:p>
      <w:pPr>
        <w:pStyle w:val="17"/>
        <w:spacing w:line="580" w:lineRule="exact"/>
        <w:ind w:left="0" w:right="48" w:rightChars="22" w:firstLine="640" w:firstLineChars="200"/>
        <w:rPr>
          <w:rStyle w:val="10"/>
          <w:rFonts w:ascii="黑体" w:hAnsi="黑体" w:eastAsia="黑体" w:cs="黑体"/>
        </w:rPr>
      </w:pPr>
      <w:r>
        <w:rPr>
          <w:rStyle w:val="10"/>
          <w:rFonts w:hint="eastAsia" w:ascii="黑体" w:hAnsi="黑体" w:eastAsia="黑体" w:cs="黑体"/>
        </w:rPr>
        <w:t>八、其他事项</w:t>
      </w:r>
    </w:p>
    <w:p>
      <w:pPr>
        <w:pStyle w:val="17"/>
        <w:spacing w:line="580" w:lineRule="exact"/>
        <w:ind w:left="0" w:right="48" w:rightChars="22" w:firstLine="640" w:firstLineChars="200"/>
        <w:rPr>
          <w:rStyle w:val="10"/>
          <w:rFonts w:ascii="仿宋_GB2312" w:hAnsi="仿宋_GB2312" w:eastAsia="仿宋_GB2312" w:cs="仿宋_GB2312"/>
        </w:rPr>
      </w:pPr>
      <w:r>
        <w:rPr>
          <w:rStyle w:val="10"/>
          <w:rFonts w:hint="eastAsia" w:ascii="仿宋_GB2312" w:hAnsi="仿宋_GB2312" w:eastAsia="仿宋_GB2312" w:cs="仿宋_GB2312"/>
        </w:rPr>
        <w:t>（一）以院校为单位组成代表队参加比赛。不接受以个人名义报名参赛。</w:t>
      </w:r>
    </w:p>
    <w:p>
      <w:pPr>
        <w:spacing w:line="580" w:lineRule="exact"/>
        <w:ind w:right="48" w:rightChars="22"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（二）参赛对象为各高等院校在职教师。</w:t>
      </w:r>
    </w:p>
    <w:p>
      <w:pPr>
        <w:spacing w:line="580" w:lineRule="exact"/>
        <w:ind w:right="48" w:rightChars="22"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（三）各院校应组织校级选拔和评选，再择优推荐。</w:t>
      </w:r>
    </w:p>
    <w:p>
      <w:pPr>
        <w:spacing w:line="580" w:lineRule="exact"/>
        <w:ind w:right="48" w:rightChars="22" w:firstLine="640" w:firstLineChars="200"/>
        <w:rPr>
          <w:rStyle w:val="10"/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（四）本次大赛最终进入决赛圈的作品，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将分类整理、收录至我省“就业创业”精品案例资源库，供各高校在就业创业指导服务中引用。</w:t>
      </w:r>
    </w:p>
    <w:p>
      <w:pPr>
        <w:spacing w:line="580" w:lineRule="exact"/>
        <w:ind w:right="48" w:rightChars="22"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</w:p>
    <w:p>
      <w:pPr>
        <w:pStyle w:val="18"/>
        <w:tabs>
          <w:tab w:val="left" w:pos="1083"/>
        </w:tabs>
        <w:spacing w:line="580" w:lineRule="exact"/>
        <w:ind w:left="0" w:right="48" w:rightChars="22"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</w:p>
    <w:p>
      <w:pPr>
        <w:pStyle w:val="18"/>
        <w:tabs>
          <w:tab w:val="left" w:pos="1083"/>
        </w:tabs>
        <w:spacing w:line="580" w:lineRule="exact"/>
        <w:ind w:left="1918" w:leftChars="290" w:right="48" w:rightChars="22" w:hanging="1280" w:hangingChars="400"/>
        <w:jc w:val="left"/>
        <w:rPr>
          <w:rStyle w:val="10"/>
          <w:rFonts w:ascii="仿宋_GB2312" w:hAnsi="仿宋_GB2312" w:eastAsia="仿宋_GB2312" w:cs="仿宋_GB2312"/>
          <w:color w:val="000000" w:themeColor="text1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/>
        </w:rPr>
        <w:t>：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</w:rPr>
        <w:t>甘肃省第三届高等院校就业创业课程案例设计大赛</w:t>
      </w:r>
    </w:p>
    <w:p>
      <w:pPr>
        <w:pStyle w:val="18"/>
        <w:tabs>
          <w:tab w:val="left" w:pos="1083"/>
        </w:tabs>
        <w:spacing w:line="580" w:lineRule="exact"/>
        <w:ind w:left="1915" w:leftChars="725" w:right="48" w:rightChars="22" w:hanging="320" w:hangingChars="100"/>
        <w:jc w:val="left"/>
        <w:rPr>
          <w:rStyle w:val="10"/>
          <w:rFonts w:ascii="仿宋_GB2312" w:hAnsi="仿宋_GB2312" w:eastAsia="仿宋_GB2312" w:cs="仿宋_GB2312"/>
          <w:color w:val="000000" w:themeColor="text1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</w:rPr>
        <w:t>评分标准</w:t>
      </w:r>
    </w:p>
    <w:p>
      <w:pPr>
        <w:pStyle w:val="18"/>
        <w:tabs>
          <w:tab w:val="left" w:pos="1083"/>
        </w:tabs>
        <w:spacing w:line="580" w:lineRule="exact"/>
        <w:ind w:left="0" w:right="48" w:rightChars="22" w:firstLine="0"/>
        <w:rPr>
          <w:rStyle w:val="10"/>
          <w:rFonts w:ascii="宋体" w:hAnsi="宋体" w:eastAsia="宋体"/>
          <w:sz w:val="32"/>
          <w:szCs w:val="32"/>
        </w:rPr>
      </w:pPr>
    </w:p>
    <w:p>
      <w:pPr>
        <w:pStyle w:val="18"/>
        <w:tabs>
          <w:tab w:val="left" w:pos="1083"/>
        </w:tabs>
        <w:spacing w:line="580" w:lineRule="exact"/>
        <w:ind w:left="0" w:right="48" w:rightChars="22" w:firstLine="0"/>
        <w:rPr>
          <w:rStyle w:val="10"/>
          <w:rFonts w:ascii="宋体" w:hAnsi="宋体" w:eastAsia="宋体"/>
          <w:sz w:val="32"/>
          <w:szCs w:val="32"/>
        </w:rPr>
      </w:pPr>
    </w:p>
    <w:p>
      <w:pPr>
        <w:pStyle w:val="18"/>
        <w:tabs>
          <w:tab w:val="left" w:pos="1083"/>
        </w:tabs>
        <w:spacing w:line="580" w:lineRule="exact"/>
        <w:ind w:left="0" w:right="48" w:rightChars="22" w:firstLine="0"/>
        <w:rPr>
          <w:rStyle w:val="10"/>
          <w:rFonts w:ascii="宋体" w:hAnsi="宋体" w:eastAsia="宋体"/>
          <w:sz w:val="32"/>
          <w:szCs w:val="32"/>
        </w:rPr>
      </w:pPr>
    </w:p>
    <w:p>
      <w:pPr>
        <w:pStyle w:val="18"/>
        <w:tabs>
          <w:tab w:val="left" w:pos="1083"/>
        </w:tabs>
        <w:spacing w:line="580" w:lineRule="exact"/>
        <w:ind w:left="0" w:right="48" w:rightChars="22" w:firstLine="0"/>
        <w:rPr>
          <w:rStyle w:val="10"/>
          <w:rFonts w:ascii="宋体" w:hAnsi="宋体" w:eastAsia="宋体"/>
          <w:sz w:val="32"/>
          <w:szCs w:val="32"/>
        </w:rPr>
      </w:pPr>
    </w:p>
    <w:p>
      <w:pPr>
        <w:pStyle w:val="18"/>
        <w:tabs>
          <w:tab w:val="left" w:pos="1083"/>
        </w:tabs>
        <w:spacing w:line="580" w:lineRule="exact"/>
        <w:ind w:left="0" w:right="48" w:rightChars="22" w:firstLine="0"/>
        <w:rPr>
          <w:rStyle w:val="10"/>
          <w:rFonts w:ascii="宋体" w:hAnsi="宋体" w:eastAsia="宋体"/>
          <w:sz w:val="32"/>
          <w:szCs w:val="32"/>
        </w:rPr>
      </w:pPr>
    </w:p>
    <w:p>
      <w:pPr>
        <w:pStyle w:val="18"/>
        <w:tabs>
          <w:tab w:val="left" w:pos="1083"/>
        </w:tabs>
        <w:spacing w:line="580" w:lineRule="exact"/>
        <w:ind w:left="0" w:right="48" w:rightChars="22" w:firstLine="0"/>
        <w:rPr>
          <w:rStyle w:val="10"/>
          <w:rFonts w:ascii="宋体" w:hAnsi="宋体" w:eastAsia="宋体"/>
          <w:sz w:val="32"/>
          <w:szCs w:val="32"/>
        </w:rPr>
      </w:pPr>
    </w:p>
    <w:p>
      <w:pPr>
        <w:pStyle w:val="18"/>
        <w:tabs>
          <w:tab w:val="left" w:pos="1083"/>
        </w:tabs>
        <w:spacing w:line="580" w:lineRule="exact"/>
        <w:ind w:left="0" w:right="48" w:rightChars="22" w:firstLine="0"/>
        <w:rPr>
          <w:rStyle w:val="10"/>
          <w:rFonts w:ascii="宋体" w:hAnsi="宋体" w:eastAsia="宋体"/>
          <w:sz w:val="32"/>
          <w:szCs w:val="32"/>
        </w:rPr>
      </w:pPr>
    </w:p>
    <w:p>
      <w:pPr>
        <w:pStyle w:val="18"/>
        <w:tabs>
          <w:tab w:val="left" w:pos="1083"/>
        </w:tabs>
        <w:spacing w:line="580" w:lineRule="exact"/>
        <w:ind w:left="1082" w:right="48" w:rightChars="22" w:firstLine="0"/>
        <w:rPr>
          <w:rStyle w:val="10"/>
          <w:rFonts w:ascii="宋体" w:hAnsi="宋体" w:eastAsia="宋体"/>
          <w:sz w:val="32"/>
          <w:szCs w:val="32"/>
        </w:rPr>
      </w:pPr>
    </w:p>
    <w:p>
      <w:pPr>
        <w:spacing w:afterLines="50" w:line="52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甘肃省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三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届高等院校就业创业课程案例设计大赛</w:t>
      </w:r>
    </w:p>
    <w:p>
      <w:pPr>
        <w:spacing w:afterLines="50" w:line="52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评分标准</w:t>
      </w:r>
    </w:p>
    <w:tbl>
      <w:tblPr>
        <w:tblStyle w:val="8"/>
        <w:tblpPr w:leftFromText="180" w:rightFromText="180" w:vertAnchor="text" w:horzAnchor="page" w:tblpX="1951" w:tblpY="68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39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评价维度</w:t>
            </w:r>
          </w:p>
        </w:tc>
        <w:tc>
          <w:tcPr>
            <w:tcW w:w="6395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评价要点</w:t>
            </w: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教学理念</w:t>
            </w: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教学理念符合就业创业工作实际及课程要求，注重问题导向，体现立德树人思想和“学生中心、产出导向、持续改进”的教育教学理念。</w:t>
            </w: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教学内容</w:t>
            </w: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具备一定程度的高阶性、创新性、挑战度。能够把握新时代下学生学习特点，充分利用现代信息技术手段开展课程教学活动和学习评价，使用质量高的教学资源。 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重点难点突出、逻辑合理、结构清晰。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课程思政目标得到实现，促进学生家国情怀、科学与人文精神的培养。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教学模式</w:t>
            </w: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注重以学生为中心创新教学，体现教师主导、学生主体。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教学目标科学、明确，重视学生发展需要，所有课堂活动与教学目标具有一致性。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教学组织有序，教学过程安排合理。创新教学方法与策略，调动学生积极性，师生互动充分。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合理有效运用现代信息技术，支撑教学创新。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考核评价的内容和方式创新。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教学效果</w:t>
            </w: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课堂讲授富有吸引力，课堂气氛融洽，学生思维活跃，深度参与课堂。教师语言生动、流利，具有感染力和号召力。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学生知识、能力与素质得到了全面发展，有效激发学生的学习兴趣，培养了学生的自主学习能力。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教学风格突出、教学模式新颖、效果好，具有较大的借鉴和推广价值。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视频质量</w:t>
            </w: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教学视频清晰、流畅，能客观、真实反映教师和学生的教学过程常态。</w:t>
            </w: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  <w:tc>
          <w:tcPr>
            <w:tcW w:w="6395" w:type="dxa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100分</w:t>
            </w:r>
          </w:p>
        </w:tc>
      </w:tr>
    </w:tbl>
    <w:p>
      <w:pPr>
        <w:pStyle w:val="18"/>
        <w:tabs>
          <w:tab w:val="left" w:pos="1083"/>
        </w:tabs>
        <w:spacing w:line="580" w:lineRule="exact"/>
        <w:ind w:left="0" w:firstLine="0"/>
        <w:rPr>
          <w:rStyle w:val="10"/>
          <w:rFonts w:ascii="仿宋_GB2312" w:hAnsi="仿宋_GB2312" w:eastAsia="仿宋_GB2312" w:cs="仿宋_GB2312"/>
          <w:sz w:val="32"/>
          <w:szCs w:val="32"/>
          <w:lang w:val="en-US"/>
        </w:rPr>
      </w:pPr>
    </w:p>
    <w:sectPr>
      <w:footerReference r:id="rId3" w:type="default"/>
      <w:footerReference r:id="rId4" w:type="even"/>
      <w:pgSz w:w="11910" w:h="16840"/>
      <w:pgMar w:top="2041" w:right="1474" w:bottom="1871" w:left="1587" w:header="0" w:footer="101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line="14" w:lineRule="auto"/>
      <w:ind w:left="0"/>
      <w:rPr>
        <w:rStyle w:val="10"/>
        <w:sz w:val="20"/>
      </w:rPr>
    </w:pPr>
    <w:r>
      <w:rPr>
        <w:sz w:val="20"/>
      </w:rPr>
      <w:pict>
        <v:shape id="文本框 1025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 w:eastAsia="宋体"/>
                    <w:sz w:val="18"/>
                  </w:rPr>
                  <w:fldChar w:fldCharType="begin"/>
                </w:r>
                <w:r>
                  <w:rPr>
                    <w:rFonts w:hint="eastAsia" w:eastAsia="宋体"/>
                    <w:sz w:val="18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sz w:val="18"/>
                  </w:rPr>
                  <w:fldChar w:fldCharType="separate"/>
                </w:r>
                <w:r>
                  <w:rPr>
                    <w:rFonts w:eastAsia="宋体"/>
                    <w:sz w:val="18"/>
                  </w:rPr>
                  <w:t>3</w:t>
                </w:r>
                <w:r>
                  <w:rPr>
                    <w:rFonts w:hint="eastAsia" w:eastAsia="宋体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line="14" w:lineRule="auto"/>
      <w:ind w:left="0"/>
      <w:rPr>
        <w:rStyle w:val="10"/>
        <w:sz w:val="20"/>
      </w:rPr>
    </w:pPr>
    <w:r>
      <w:rPr>
        <w:sz w:val="20"/>
      </w:rPr>
      <w:pict>
        <v:shape id="文本框 1026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 w:eastAsia="宋体"/>
                    <w:sz w:val="18"/>
                  </w:rPr>
                  <w:fldChar w:fldCharType="begin"/>
                </w:r>
                <w:r>
                  <w:rPr>
                    <w:rFonts w:hint="eastAsia" w:eastAsia="宋体"/>
                    <w:sz w:val="18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sz w:val="18"/>
                  </w:rPr>
                  <w:fldChar w:fldCharType="separate"/>
                </w:r>
                <w:r>
                  <w:rPr>
                    <w:rFonts w:eastAsia="宋体"/>
                    <w:sz w:val="18"/>
                  </w:rPr>
                  <w:t>4</w:t>
                </w:r>
                <w:r>
                  <w:rPr>
                    <w:rFonts w:hint="eastAsia" w:eastAsia="宋体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evenAndOddHeaders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,3"/>
    </o:shapelayout>
  </w:hdrShapeDefaults>
  <w:compat>
    <w:spaceForUL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mNDYzODJlOTczYTc5Yzg3ZmQ1ZDhjYWQ2OThhYjgifQ=="/>
  </w:docVars>
  <w:rsids>
    <w:rsidRoot w:val="00D217DB"/>
    <w:rsid w:val="000C4939"/>
    <w:rsid w:val="00211645"/>
    <w:rsid w:val="0021657D"/>
    <w:rsid w:val="002421CF"/>
    <w:rsid w:val="00284986"/>
    <w:rsid w:val="003A44E4"/>
    <w:rsid w:val="00435841"/>
    <w:rsid w:val="004D5200"/>
    <w:rsid w:val="007209EB"/>
    <w:rsid w:val="007C1972"/>
    <w:rsid w:val="007D0981"/>
    <w:rsid w:val="0080142A"/>
    <w:rsid w:val="00854EAB"/>
    <w:rsid w:val="00862244"/>
    <w:rsid w:val="009C6316"/>
    <w:rsid w:val="00C647EA"/>
    <w:rsid w:val="00CC2B45"/>
    <w:rsid w:val="00CF15F1"/>
    <w:rsid w:val="00D217DB"/>
    <w:rsid w:val="00DB15E1"/>
    <w:rsid w:val="00EC4FD4"/>
    <w:rsid w:val="00EF7D87"/>
    <w:rsid w:val="00F178E5"/>
    <w:rsid w:val="00F85C46"/>
    <w:rsid w:val="00FF7E46"/>
    <w:rsid w:val="030A46C5"/>
    <w:rsid w:val="04510CA1"/>
    <w:rsid w:val="06FE024A"/>
    <w:rsid w:val="072F774E"/>
    <w:rsid w:val="09406D1C"/>
    <w:rsid w:val="0F4763E0"/>
    <w:rsid w:val="10AA2CA9"/>
    <w:rsid w:val="112E0200"/>
    <w:rsid w:val="13481FFB"/>
    <w:rsid w:val="24D238CB"/>
    <w:rsid w:val="27EC60E8"/>
    <w:rsid w:val="288B1C36"/>
    <w:rsid w:val="295238FA"/>
    <w:rsid w:val="2A0B4F4C"/>
    <w:rsid w:val="2A334F2F"/>
    <w:rsid w:val="2CD27619"/>
    <w:rsid w:val="2EF9077B"/>
    <w:rsid w:val="2F4829F4"/>
    <w:rsid w:val="2F5B6B35"/>
    <w:rsid w:val="301937F3"/>
    <w:rsid w:val="31B1500D"/>
    <w:rsid w:val="32785CC7"/>
    <w:rsid w:val="3308415B"/>
    <w:rsid w:val="349E3435"/>
    <w:rsid w:val="37BA1653"/>
    <w:rsid w:val="3DA406B5"/>
    <w:rsid w:val="3E856294"/>
    <w:rsid w:val="421A1021"/>
    <w:rsid w:val="421F2EEA"/>
    <w:rsid w:val="45115B38"/>
    <w:rsid w:val="47436150"/>
    <w:rsid w:val="47CF5326"/>
    <w:rsid w:val="4C7E49E7"/>
    <w:rsid w:val="4D40328E"/>
    <w:rsid w:val="4DB1785D"/>
    <w:rsid w:val="4EB92A2B"/>
    <w:rsid w:val="4F1C4E1B"/>
    <w:rsid w:val="513D338D"/>
    <w:rsid w:val="52522E68"/>
    <w:rsid w:val="57F81DBC"/>
    <w:rsid w:val="58076630"/>
    <w:rsid w:val="58E67C05"/>
    <w:rsid w:val="5A48611B"/>
    <w:rsid w:val="5CAC7825"/>
    <w:rsid w:val="62696533"/>
    <w:rsid w:val="629F219A"/>
    <w:rsid w:val="65470427"/>
    <w:rsid w:val="664E3747"/>
    <w:rsid w:val="6656241B"/>
    <w:rsid w:val="68180B28"/>
    <w:rsid w:val="68F71B4A"/>
    <w:rsid w:val="69443550"/>
    <w:rsid w:val="69F148BD"/>
    <w:rsid w:val="6A0D2AC3"/>
    <w:rsid w:val="6A2C574B"/>
    <w:rsid w:val="6AAD494D"/>
    <w:rsid w:val="6B054EAE"/>
    <w:rsid w:val="6B151655"/>
    <w:rsid w:val="6B982439"/>
    <w:rsid w:val="6BF463F1"/>
    <w:rsid w:val="6EF27856"/>
    <w:rsid w:val="7062374D"/>
    <w:rsid w:val="730C12F3"/>
    <w:rsid w:val="743B3304"/>
    <w:rsid w:val="759F6826"/>
    <w:rsid w:val="777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textAlignment w:val="baseline"/>
    </w:pPr>
    <w:rPr>
      <w:rFonts w:ascii="Arial Unicode MS" w:hAnsi="Arial Unicode MS" w:eastAsia="Arial Unicode MS" w:cstheme="minorBidi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Date"/>
    <w:basedOn w:val="1"/>
    <w:next w:val="1"/>
    <w:link w:val="24"/>
    <w:uiPriority w:val="0"/>
    <w:pPr>
      <w:ind w:left="100" w:leftChars="2500"/>
    </w:pPr>
  </w:style>
  <w:style w:type="paragraph" w:styleId="4">
    <w:name w:val="Balloon Text"/>
    <w:basedOn w:val="1"/>
    <w:link w:val="23"/>
    <w:uiPriority w:val="0"/>
    <w:rPr>
      <w:sz w:val="18"/>
      <w:szCs w:val="18"/>
    </w:r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Heading1"/>
    <w:basedOn w:val="1"/>
    <w:next w:val="1"/>
    <w:qFormat/>
    <w:uiPriority w:val="0"/>
    <w:pPr>
      <w:spacing w:before="57"/>
      <w:ind w:left="763"/>
    </w:pPr>
    <w:rPr>
      <w:rFonts w:ascii="仿宋" w:hAnsi="仿宋" w:eastAsia="仿宋" w:cs="仿宋"/>
      <w:b/>
      <w:bCs/>
      <w:sz w:val="32"/>
      <w:szCs w:val="32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basedOn w:val="10"/>
    <w:link w:val="13"/>
    <w:qFormat/>
    <w:uiPriority w:val="0"/>
    <w:rPr>
      <w:rFonts w:ascii="Arial Unicode MS" w:hAnsi="Arial Unicode MS" w:eastAsia="Arial Unicode MS"/>
      <w:sz w:val="18"/>
      <w:szCs w:val="18"/>
      <w:lang w:val="zh-CN" w:bidi="zh-CN"/>
    </w:rPr>
  </w:style>
  <w:style w:type="paragraph" w:customStyle="1" w:styleId="13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4">
    <w:name w:val="UserStyle_1"/>
    <w:basedOn w:val="10"/>
    <w:link w:val="15"/>
    <w:qFormat/>
    <w:uiPriority w:val="0"/>
    <w:rPr>
      <w:rFonts w:ascii="Arial Unicode MS" w:hAnsi="Arial Unicode MS" w:eastAsia="Arial Unicode MS"/>
      <w:sz w:val="18"/>
      <w:szCs w:val="18"/>
      <w:lang w:val="zh-CN" w:bidi="zh-CN"/>
    </w:rPr>
  </w:style>
  <w:style w:type="paragraph" w:customStyle="1" w:styleId="15">
    <w:name w:val="Acetate"/>
    <w:basedOn w:val="1"/>
    <w:link w:val="14"/>
    <w:qFormat/>
    <w:uiPriority w:val="0"/>
    <w:rPr>
      <w:sz w:val="18"/>
      <w:szCs w:val="18"/>
    </w:rPr>
  </w:style>
  <w:style w:type="paragraph" w:customStyle="1" w:styleId="16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17">
    <w:name w:val="BodyText"/>
    <w:basedOn w:val="1"/>
    <w:qFormat/>
    <w:uiPriority w:val="0"/>
    <w:pPr>
      <w:ind w:left="120"/>
    </w:pPr>
    <w:rPr>
      <w:sz w:val="32"/>
      <w:szCs w:val="32"/>
    </w:rPr>
  </w:style>
  <w:style w:type="paragraph" w:customStyle="1" w:styleId="18">
    <w:name w:val="179"/>
    <w:basedOn w:val="1"/>
    <w:qFormat/>
    <w:uiPriority w:val="0"/>
    <w:pPr>
      <w:ind w:left="120" w:firstLine="645"/>
      <w:jc w:val="both"/>
    </w:pPr>
  </w:style>
  <w:style w:type="paragraph" w:customStyle="1" w:styleId="19">
    <w:name w:val="UserStyle_2"/>
    <w:basedOn w:val="1"/>
    <w:qFormat/>
    <w:uiPriority w:val="0"/>
  </w:style>
  <w:style w:type="table" w:customStyle="1" w:styleId="20">
    <w:name w:val="UserStyle_3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页眉 Char"/>
    <w:basedOn w:val="7"/>
    <w:link w:val="6"/>
    <w:qFormat/>
    <w:uiPriority w:val="0"/>
    <w:rPr>
      <w:rFonts w:ascii="Arial Unicode MS" w:hAnsi="Arial Unicode MS" w:eastAsia="Arial Unicode MS" w:cstheme="minorBidi"/>
      <w:sz w:val="18"/>
      <w:szCs w:val="18"/>
      <w:lang w:val="zh-CN" w:bidi="zh-CN"/>
    </w:rPr>
  </w:style>
  <w:style w:type="character" w:customStyle="1" w:styleId="22">
    <w:name w:val="页脚 Char"/>
    <w:basedOn w:val="7"/>
    <w:link w:val="5"/>
    <w:uiPriority w:val="0"/>
    <w:rPr>
      <w:rFonts w:ascii="Arial Unicode MS" w:hAnsi="Arial Unicode MS" w:eastAsia="Arial Unicode MS" w:cstheme="minorBidi"/>
      <w:sz w:val="18"/>
      <w:szCs w:val="18"/>
      <w:lang w:val="zh-CN" w:bidi="zh-CN"/>
    </w:rPr>
  </w:style>
  <w:style w:type="character" w:customStyle="1" w:styleId="23">
    <w:name w:val="批注框文本 Char"/>
    <w:basedOn w:val="7"/>
    <w:link w:val="4"/>
    <w:qFormat/>
    <w:uiPriority w:val="0"/>
    <w:rPr>
      <w:rFonts w:ascii="Arial Unicode MS" w:hAnsi="Arial Unicode MS" w:eastAsia="Arial Unicode MS" w:cstheme="minorBidi"/>
      <w:sz w:val="18"/>
      <w:szCs w:val="18"/>
      <w:lang w:val="zh-CN" w:bidi="zh-CN"/>
    </w:rPr>
  </w:style>
  <w:style w:type="character" w:customStyle="1" w:styleId="24">
    <w:name w:val="日期 Char"/>
    <w:basedOn w:val="7"/>
    <w:link w:val="3"/>
    <w:qFormat/>
    <w:uiPriority w:val="0"/>
    <w:rPr>
      <w:rFonts w:ascii="Arial Unicode MS" w:hAnsi="Arial Unicode MS" w:eastAsia="Arial Unicode MS" w:cstheme="minorBidi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18526A-B117-4C1D-9396-703E4B2E7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312</Words>
  <Characters>1782</Characters>
  <Lines>14</Lines>
  <Paragraphs>4</Paragraphs>
  <TotalTime>5</TotalTime>
  <ScaleCrop>false</ScaleCrop>
  <LinksUpToDate>false</LinksUpToDate>
  <CharactersWithSpaces>2090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2020-03-16T15:18:00Z</dcterms:created>
  <dc:creator>WPS Office</dc:creator>
  <cp:lastModifiedBy>null</cp:lastModifiedBy>
  <cp:lastPrinted>2022-11-13T03:32:00Z</cp:lastPrinted>
  <dcterms:modified xsi:type="dcterms:W3CDTF">2022-11-14T03:17:57Z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5631D013E5CD4B66BD972F640B688513</vt:lpwstr>
  </property>
</Properties>
</file>