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>
      <w:pPr>
        <w:jc w:val="center"/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甘肃省就业创业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指导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名师工作室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为了提高我省高校就业创业工作水平，打造名师，引领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青年教师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成长，支持高校就业创业团队建设和师资队伍稳定发展，拟设立“甘肃省就业创业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名师工作室”项目。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一、就业指导名师工作室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1.学校提供专用场地，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场地面积需</w:t>
      </w:r>
      <w:r>
        <w:rPr>
          <w:rFonts w:hint="eastAsia" w:ascii="仿宋_GB2312" w:hAnsi="仿宋_GB2312" w:eastAsia="仿宋_GB2312" w:cs="仿宋_GB2312"/>
          <w:sz w:val="32"/>
          <w:szCs w:val="32"/>
        </w:rPr>
        <w:t>达到个体咨询的场所要求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，具备</w:t>
      </w:r>
      <w:r>
        <w:rPr>
          <w:rFonts w:hint="eastAsia" w:ascii="仿宋_GB2312" w:hAnsi="仿宋_GB2312" w:eastAsia="仿宋_GB2312" w:cs="仿宋_GB2312"/>
          <w:sz w:val="32"/>
          <w:szCs w:val="32"/>
        </w:rPr>
        <w:t>团体辅导所需基本设施及功能。能够提供平台和工具支撑、多种形式就业指导资源和渠道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工作室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在编在岗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副教授以上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具有</w:t>
      </w:r>
      <w:r>
        <w:rPr>
          <w:rFonts w:hint="eastAsia" w:ascii="仿宋_GB2312" w:hAnsi="仿宋_GB2312" w:eastAsia="仿宋_GB2312" w:cs="仿宋_GB2312"/>
          <w:sz w:val="32"/>
          <w:szCs w:val="32"/>
        </w:rPr>
        <w:t>丰富的就业工作经验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、良好</w:t>
      </w:r>
      <w:r>
        <w:rPr>
          <w:rFonts w:hint="eastAsia" w:ascii="仿宋_GB2312" w:hAnsi="仿宋_GB2312" w:eastAsia="仿宋_GB2312" w:cs="仿宋_GB2312"/>
          <w:sz w:val="32"/>
          <w:szCs w:val="32"/>
        </w:rPr>
        <w:t>的专业素养，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具备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领导团队开展工作的能力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从事一线就业指导与职业生涯规划工作5年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3.工作室主要成员5人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具有奉献精神和就业情怀，</w:t>
      </w:r>
      <w:r>
        <w:rPr>
          <w:rFonts w:hint="eastAsia" w:ascii="仿宋_GB2312" w:hAnsi="仿宋_GB2312" w:eastAsia="仿宋_GB2312" w:cs="仿宋_GB2312"/>
          <w:sz w:val="32"/>
          <w:szCs w:val="32"/>
        </w:rPr>
        <w:t>常年从事大学生生涯教育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、就业指导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团队稳定。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工作室由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就业创业能力提升工程项目校级管理部门统一管理，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校级就业部门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具体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支持和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监督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，需开展常态化的就业指导与大学生生涯教育活动，必须建立明确的工作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和年度工作计划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、年度总结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，组织活动和服务学生人数要量化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，开展的各项活动有详细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的记录和跟踪，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积极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打造学生就业服务案例库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工作室主要开展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毕业生个体生涯咨询、就业指导活动组织开展、职业礼仪教育、模拟面试、重点群体精准就业服务、就业数据调研与反馈研究、“慢就业”毕业生群体帮扶、行业就业调研等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要为学生精准提供岗位资源，开展求职咨询，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搭建就业桥梁，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全面提升毕业生职业发展能力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，促进毕业生更充分和更高质量就业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；应形成具有本校特色的工作室品牌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拟支持经费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用于购置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开发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优化工作室专业工具、服务软件，组织学生活动的讲师课酬、咨询服务、宣传及教学用品，工作室成员参加培训学习调研差旅、学习资料、论文发表版面费等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2023、2024年已立项的名师工作室，2025年不再重复安排。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7.工作室申报时要遴选不少于30名2025届多个专业低收入家庭、脱贫家庭、残疾、零就业、少数民族等类型未就业毕业生进行系统帮扶，建立帮扶台账，帮扶的毕业生落实率不低于80%。申报书要明确拟帮扶的未就业毕业生专业、姓名，项目结项时提供该生2025年8月31日毕业去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8.工作室名称不能用个人冠名，可突出品牌特色和团队精神。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二、创业指导名师工作室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1.学校提供专用场地，场地面积需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匹配院校学生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数量及功能需</w:t>
      </w:r>
      <w:r>
        <w:rPr>
          <w:rFonts w:hint="eastAsia" w:ascii="仿宋_GB2312" w:hAnsi="仿宋_GB2312" w:eastAsia="仿宋_GB2312" w:cs="仿宋_GB2312"/>
          <w:sz w:val="32"/>
          <w:szCs w:val="32"/>
        </w:rPr>
        <w:t>求，具备团体辅导所需基本设施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平台和工具支撑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，实现易用、开放、共享。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负责人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需在编在岗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副教授以上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职称，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丰富的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就业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创业教育教学和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就业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创业实践指导工作经验及成绩，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具备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领导团队开展工作的能力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从事一线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创业指导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3.工作室主要成员5人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具有奉献精神和就业创业情怀，团队稳定，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常年从事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就业创业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相关工作，在“专创、思创、科创、商创、文创”等领域具有较好的专业素养，能够为学生提供具有专业针对性和创业实践性的咨询辅导服务，具备较为丰富的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就业</w:t>
      </w:r>
      <w:r>
        <w:rPr>
          <w:rFonts w:hint="eastAsia" w:ascii="仿宋_GB2312" w:hAnsi="仿宋_GB2312" w:eastAsia="仿宋_GB2312" w:cs="仿宋_GB2312"/>
          <w:sz w:val="32"/>
          <w:szCs w:val="32"/>
        </w:rPr>
        <w:t>创业课程教学、竞赛辅导、理论研究等相关成果。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申报书要体现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负责人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成功指导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创业带动就业的具体案例，以及参与的</w:t>
      </w:r>
      <w:r>
        <w:rPr>
          <w:rFonts w:hint="eastAsia" w:ascii="仿宋_GB2312" w:hAnsi="仿宋_GB2312" w:eastAsia="仿宋_GB2312" w:cs="仿宋_GB2312"/>
          <w:sz w:val="32"/>
          <w:szCs w:val="32"/>
        </w:rPr>
        <w:t>“训练营”“工作坊”“先锋班”等活动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的具体辅导数据。需列举可协调使用的校内外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创新实验室、众创空间、创业孵化器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、大学科技园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共享空间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列出与</w:t>
      </w:r>
      <w:r>
        <w:rPr>
          <w:rFonts w:hint="eastAsia" w:ascii="仿宋_GB2312" w:hAnsi="仿宋_GB2312" w:eastAsia="仿宋_GB2312" w:cs="仿宋_GB2312"/>
          <w:sz w:val="32"/>
          <w:szCs w:val="32"/>
        </w:rPr>
        <w:t>校外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企事业单位、</w:t>
      </w:r>
      <w:r>
        <w:rPr>
          <w:rFonts w:hint="eastAsia" w:ascii="仿宋_GB2312" w:hAnsi="仿宋_GB2312" w:eastAsia="仿宋_GB2312" w:cs="仿宋_GB2312"/>
          <w:sz w:val="32"/>
          <w:szCs w:val="32"/>
        </w:rPr>
        <w:t>科研机构、行业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资源合作基础并提供相关佐证。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拟支持经费30万元，用于购置、开发、优化工作室专业工具、服务软件，组织学生活动的讲师课酬、咨询服务、宣传及教学用品，工作室成员参加培训学习调研差旅、学习资料、论文发表版面费，支持学生创业团队发展费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工作室由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就业创业能力提升工程项目校级管理部门统一管理，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创业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部门进行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直接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支持和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监督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必须建立明确的工作制度和年度工作计划、年度总结。需开展常态化的就业创业指导活动，工作日须有人在岗值守，指导和服务需要有明确的记录和跟踪。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7.工作室要推动教师针对学生团队打造品牌化创业指导活动，辐射人数达到“十百千”标准，即：工作室年均开展一对一团队指导活动10次以上；教师参与创业活动人数100人次以上；通过沙龙、论坛、讲座、对接会等课外活动辐射的学生参与量达到1000人次以上。工作室创业指导活动效果实现“三个十”，即：培育学生创业团队10个以上；其中，按高校毕业生就业去向关于自主创业界定及标准，结项时在省内创立公司（含个体工商户）的不低于10%；指导的团队省内自主创业总学生数达10人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8.工作室名称不能用个人冠名，可突出品牌特色和团队精神。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lYjc0MDUxMTVjMjhhYTY3YzdkYTAwYjJkMmNiZGUifQ=="/>
  </w:docVars>
  <w:rsids>
    <w:rsidRoot w:val="00172A27"/>
    <w:rsid w:val="000350F6"/>
    <w:rsid w:val="003018F2"/>
    <w:rsid w:val="00452CD9"/>
    <w:rsid w:val="00464F78"/>
    <w:rsid w:val="00485F28"/>
    <w:rsid w:val="004B736D"/>
    <w:rsid w:val="00503CC7"/>
    <w:rsid w:val="00752841"/>
    <w:rsid w:val="007B224E"/>
    <w:rsid w:val="008C0B20"/>
    <w:rsid w:val="008C113A"/>
    <w:rsid w:val="009A2051"/>
    <w:rsid w:val="009D5BA6"/>
    <w:rsid w:val="00B074C6"/>
    <w:rsid w:val="00B66C2F"/>
    <w:rsid w:val="00BE4D58"/>
    <w:rsid w:val="00C13089"/>
    <w:rsid w:val="00CC6DFC"/>
    <w:rsid w:val="00D037AF"/>
    <w:rsid w:val="00D736DD"/>
    <w:rsid w:val="00D84754"/>
    <w:rsid w:val="00F10451"/>
    <w:rsid w:val="00FE11FE"/>
    <w:rsid w:val="0CB57343"/>
    <w:rsid w:val="126A1390"/>
    <w:rsid w:val="33985D8F"/>
    <w:rsid w:val="365C6966"/>
    <w:rsid w:val="3AD2371A"/>
    <w:rsid w:val="4B3A2B43"/>
    <w:rsid w:val="4F024363"/>
    <w:rsid w:val="505D3544"/>
    <w:rsid w:val="7377394A"/>
    <w:rsid w:val="EF9F63B3"/>
    <w:rsid w:val="F3C9E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19DDB8-6329-4618-A6F3-5E66A8DE4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</Words>
  <Characters>1408</Characters>
  <Lines>11</Lines>
  <Paragraphs>3</Paragraphs>
  <TotalTime>7</TotalTime>
  <ScaleCrop>false</ScaleCrop>
  <LinksUpToDate>false</LinksUpToDate>
  <CharactersWithSpaces>1652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2022-12-08T04:33:00Z</dcterms:created>
  <dc:creator>Data</dc:creator>
  <cp:lastModifiedBy>null</cp:lastModifiedBy>
  <dcterms:modified xsi:type="dcterms:W3CDTF">2024-09-03T03:14:05Z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BC28891A122E4A448AE44167BE9DF30C</vt:lpwstr>
  </property>
</Properties>
</file>