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8FB77">
      <w:pPr>
        <w:spacing w:before="101" w:line="222" w:lineRule="auto"/>
        <w:rPr>
          <w:rFonts w:hint="eastAsia" w:ascii="仿宋" w:hAnsi="仿宋" w:eastAsia="仿宋" w:cs="仿宋"/>
          <w:spacing w:val="-4"/>
          <w:sz w:val="31"/>
          <w:szCs w:val="31"/>
          <w:lang w:val="en-US" w:eastAsia="zh-CN"/>
        </w:rPr>
      </w:pPr>
      <w:r>
        <w:rPr>
          <w:rFonts w:hint="eastAsia" w:ascii="仿宋" w:hAnsi="仿宋" w:eastAsia="仿宋" w:cs="仿宋"/>
          <w:spacing w:val="-4"/>
          <w:sz w:val="31"/>
          <w:szCs w:val="31"/>
          <w:lang w:val="en-US" w:eastAsia="zh-CN"/>
        </w:rPr>
        <w:t>附件2：</w:t>
      </w:r>
    </w:p>
    <w:p w14:paraId="76EAA54D">
      <w:pPr>
        <w:keepNext w:val="0"/>
        <w:keepLines w:val="0"/>
        <w:widowControl/>
        <w:suppressLineNumbers w:val="0"/>
        <w:jc w:val="center"/>
        <w:rPr>
          <w:sz w:val="36"/>
          <w:szCs w:val="36"/>
        </w:rPr>
      </w:pPr>
      <w:r>
        <w:rPr>
          <w:rFonts w:ascii="方正小标宋简体" w:hAnsi="方正小标宋简体" w:eastAsia="方正小标宋简体" w:cs="方正小标宋简体"/>
          <w:color w:val="1C1F23"/>
          <w:kern w:val="0"/>
          <w:sz w:val="36"/>
          <w:szCs w:val="36"/>
          <w:lang w:val="en-US" w:eastAsia="zh-CN" w:bidi="ar"/>
        </w:rPr>
        <w:t>兰州</w:t>
      </w:r>
      <w:r>
        <w:rPr>
          <w:rFonts w:hint="eastAsia" w:ascii="方正小标宋简体" w:hAnsi="方正小标宋简体" w:eastAsia="方正小标宋简体" w:cs="方正小标宋简体"/>
          <w:color w:val="1C1F23"/>
          <w:kern w:val="0"/>
          <w:sz w:val="36"/>
          <w:szCs w:val="36"/>
          <w:lang w:val="en-US" w:eastAsia="zh-CN" w:bidi="ar"/>
        </w:rPr>
        <w:t>石化</w:t>
      </w:r>
      <w:r>
        <w:rPr>
          <w:rFonts w:ascii="方正小标宋简体" w:hAnsi="方正小标宋简体" w:eastAsia="方正小标宋简体" w:cs="方正小标宋简体"/>
          <w:color w:val="1C1F23"/>
          <w:kern w:val="0"/>
          <w:sz w:val="36"/>
          <w:szCs w:val="36"/>
          <w:lang w:val="en-US" w:eastAsia="zh-CN" w:bidi="ar"/>
        </w:rPr>
        <w:t>职业技术大学</w:t>
      </w:r>
    </w:p>
    <w:p w14:paraId="15115AEF">
      <w:pPr>
        <w:keepNext w:val="0"/>
        <w:keepLines w:val="0"/>
        <w:widowControl/>
        <w:suppressLineNumbers w:val="0"/>
        <w:jc w:val="center"/>
        <w:rPr>
          <w:sz w:val="36"/>
          <w:szCs w:val="36"/>
        </w:rPr>
      </w:pPr>
      <w:r>
        <w:rPr>
          <w:rFonts w:hint="eastAsia" w:ascii="方正小标宋简体" w:hAnsi="方正小标宋简体" w:eastAsia="方正小标宋简体" w:cs="方正小标宋简体"/>
          <w:color w:val="1C1F23"/>
          <w:kern w:val="0"/>
          <w:sz w:val="36"/>
          <w:szCs w:val="36"/>
          <w:lang w:val="en-US" w:eastAsia="zh-CN" w:bidi="ar"/>
        </w:rPr>
        <w:t>“3+4”中本、“3+2”中高职贯通培养实施方案</w:t>
      </w:r>
    </w:p>
    <w:p w14:paraId="5B35AE2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贯彻落实中共中央办公厅、国务院办公厅《关于推动现代职业教育高质量发展的意见》《关于深化现代职业教育体系建设改革的意见》以及省委办公厅、省政府办公厅《甘肃省深化现代职业教育体系建设改革“三张清单”》、省教育厅等九部门《加快推进全省现代职业教育体系建设改革的实施意见》，以及《甘肃省职业教育衔接贯通人才培养实施方案》（甘教职成〔2024〕1号）文件精神，做好“3+4”中本、“3+2”中高职贯通人才培养，结合学校实际，特制定本方案。</w:t>
      </w:r>
    </w:p>
    <w:p w14:paraId="70BF65C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1C1F23"/>
          <w:kern w:val="0"/>
          <w:sz w:val="32"/>
          <w:szCs w:val="32"/>
          <w:lang w:val="en-US" w:eastAsia="zh-CN" w:bidi="ar"/>
        </w:rPr>
        <w:t>一、培养模式</w:t>
      </w:r>
    </w:p>
    <w:p w14:paraId="30C6A5B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C1F23"/>
          <w:kern w:val="0"/>
          <w:sz w:val="32"/>
          <w:szCs w:val="32"/>
          <w:lang w:val="en-US" w:eastAsia="zh-CN" w:bidi="ar"/>
        </w:rPr>
      </w:pPr>
      <w:r>
        <w:rPr>
          <w:rFonts w:hint="eastAsia" w:ascii="仿宋_GB2312" w:hAnsi="仿宋_GB2312" w:eastAsia="仿宋_GB2312" w:cs="仿宋_GB2312"/>
          <w:color w:val="1C1F23"/>
          <w:kern w:val="0"/>
          <w:sz w:val="32"/>
          <w:szCs w:val="32"/>
          <w:lang w:val="en-US" w:eastAsia="zh-CN" w:bidi="ar"/>
        </w:rPr>
        <w:t>（一）“3+4”中本贯通培养</w:t>
      </w:r>
    </w:p>
    <w:p w14:paraId="1FF2AB8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（二）“3+2”中高职贯通培养</w:t>
      </w:r>
    </w:p>
    <w:p w14:paraId="72040A9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1C1F23"/>
          <w:kern w:val="0"/>
          <w:sz w:val="32"/>
          <w:szCs w:val="32"/>
          <w:lang w:val="en-US" w:eastAsia="zh-CN" w:bidi="ar"/>
        </w:rPr>
      </w:pPr>
      <w:r>
        <w:rPr>
          <w:rFonts w:hint="eastAsia" w:ascii="黑体" w:hAnsi="黑体" w:eastAsia="黑体" w:cs="黑体"/>
          <w:color w:val="1C1F23"/>
          <w:kern w:val="0"/>
          <w:sz w:val="32"/>
          <w:szCs w:val="32"/>
          <w:lang w:val="en-US" w:eastAsia="zh-CN" w:bidi="ar"/>
        </w:rPr>
        <w:t>二、“3+4”中本、“3+2”中高职贯通培养专业确定</w:t>
      </w:r>
    </w:p>
    <w:p w14:paraId="1FD61B0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结合学校实际，开展行业需求调研，确定适合进行“3+4”中本、</w:t>
      </w:r>
      <w:r>
        <w:rPr>
          <w:rFonts w:hint="eastAsia" w:ascii="仿宋_GB2312" w:hAnsi="仿宋_GB2312" w:eastAsia="仿宋_GB2312" w:cs="仿宋_GB2312"/>
          <w:color w:val="000000"/>
          <w:kern w:val="0"/>
          <w:sz w:val="32"/>
          <w:szCs w:val="32"/>
          <w:lang w:val="en-US" w:eastAsia="zh-CN" w:bidi="ar"/>
        </w:rPr>
        <w:t>“3+2”</w:t>
      </w:r>
      <w:r>
        <w:rPr>
          <w:rFonts w:hint="eastAsia" w:ascii="仿宋_GB2312" w:hAnsi="仿宋_GB2312" w:eastAsia="仿宋_GB2312" w:cs="仿宋_GB2312"/>
          <w:color w:val="1C1F23"/>
          <w:kern w:val="0"/>
          <w:sz w:val="32"/>
          <w:szCs w:val="32"/>
          <w:lang w:val="en-US" w:eastAsia="zh-CN" w:bidi="ar"/>
        </w:rPr>
        <w:t>中高职贯通培养的专业。“3+4”中本贯通培养专业为学校本科优势专业。“3+2”中高职贯通培养专业应聚焦全省14条重点产业链职业岗位的需求确定。</w:t>
      </w:r>
    </w:p>
    <w:p w14:paraId="4BD22A8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负责部门：教务处、招生就业处</w:t>
      </w:r>
    </w:p>
    <w:p w14:paraId="6D4102F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配合部门：各学院</w:t>
      </w:r>
    </w:p>
    <w:p w14:paraId="6955FCF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1C1F23"/>
          <w:kern w:val="0"/>
          <w:sz w:val="32"/>
          <w:szCs w:val="32"/>
          <w:lang w:val="en-US" w:eastAsia="zh-CN" w:bidi="ar"/>
        </w:rPr>
      </w:pPr>
      <w:r>
        <w:rPr>
          <w:rFonts w:hint="eastAsia" w:ascii="黑体" w:hAnsi="黑体" w:eastAsia="黑体" w:cs="黑体"/>
          <w:color w:val="1C1F23"/>
          <w:kern w:val="0"/>
          <w:sz w:val="32"/>
          <w:szCs w:val="32"/>
          <w:lang w:val="en-US" w:eastAsia="zh-CN" w:bidi="ar"/>
        </w:rPr>
        <w:t>三、合作中职学校基本条件</w:t>
      </w:r>
    </w:p>
    <w:p w14:paraId="17E56C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结合学校的实际情况和中职学校的学校资质和办学条件、专业优势、师资力量、管理水平等实际情况，评估、确定合作中职学校，对接贯通培养专业。</w:t>
      </w:r>
    </w:p>
    <w:p w14:paraId="178ADFB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color w:val="1C1F23"/>
          <w:kern w:val="0"/>
          <w:sz w:val="32"/>
          <w:szCs w:val="32"/>
          <w:lang w:val="en-US" w:eastAsia="zh-CN" w:bidi="ar"/>
        </w:rPr>
        <w:t>（一）“3+4”中本贯通培养</w:t>
      </w:r>
    </w:p>
    <w:p w14:paraId="3CD485D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实施“3+4”中职与本科贯通培养的中职学校要求近三年未发生违规办学行为、重大安全责任事故、群体性事件以及不存在重大安全隐患，同时须符合以下条件：</w:t>
      </w:r>
    </w:p>
    <w:p w14:paraId="3D3F5AB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color w:val="1C1F23"/>
          <w:kern w:val="0"/>
          <w:sz w:val="32"/>
          <w:szCs w:val="32"/>
          <w:lang w:val="en-US" w:eastAsia="zh-CN" w:bidi="ar"/>
        </w:rPr>
        <w:t>1.甘肃省优质中等职业学校（2026-2030）立项建设学校；</w:t>
      </w:r>
    </w:p>
    <w:p w14:paraId="06D5BCA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2.全日制在校生应达到1200人及以上。</w:t>
      </w:r>
    </w:p>
    <w:p w14:paraId="4DF25F0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3.培养专业须为中职与本科相同或相近专业类。</w:t>
      </w:r>
    </w:p>
    <w:p w14:paraId="66AEDAB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4.仅限1所中职学校的1个专业与1所本科高校的1个专业对接。</w:t>
      </w:r>
    </w:p>
    <w:p w14:paraId="52EFC9A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1C1F23"/>
          <w:kern w:val="0"/>
          <w:sz w:val="32"/>
          <w:szCs w:val="32"/>
          <w:lang w:val="en-US" w:eastAsia="zh-CN" w:bidi="ar"/>
        </w:rPr>
        <w:t>5.合作专业有优质的教学资源基础，包括但不限于师资力量和教学水平、实训设施和实践教学资源，且</w:t>
      </w:r>
      <w:r>
        <w:rPr>
          <w:rFonts w:hint="eastAsia" w:ascii="仿宋_GB2312" w:hAnsi="仿宋_GB2312" w:eastAsia="仿宋_GB2312" w:cs="仿宋_GB2312"/>
          <w:color w:val="000000"/>
          <w:kern w:val="0"/>
          <w:sz w:val="32"/>
          <w:szCs w:val="32"/>
          <w:lang w:val="en-US" w:eastAsia="zh-CN" w:bidi="ar"/>
        </w:rPr>
        <w:t>满足以下条件之一。</w:t>
      </w:r>
    </w:p>
    <w:p w14:paraId="116B6A5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C1F23"/>
          <w:kern w:val="0"/>
          <w:sz w:val="32"/>
          <w:szCs w:val="32"/>
          <w:lang w:val="en-US" w:eastAsia="zh-CN" w:bidi="ar"/>
        </w:rPr>
      </w:pPr>
      <w:r>
        <w:rPr>
          <w:rFonts w:hint="eastAsia" w:ascii="仿宋_GB2312" w:hAnsi="仿宋_GB2312" w:eastAsia="仿宋_GB2312" w:cs="仿宋_GB2312"/>
          <w:color w:val="1C1F23"/>
          <w:kern w:val="0"/>
          <w:sz w:val="32"/>
          <w:szCs w:val="32"/>
          <w:lang w:val="en-US" w:eastAsia="zh-CN" w:bidi="ar"/>
        </w:rPr>
        <w:t>（1）国家级中职示范校建设专业</w:t>
      </w:r>
    </w:p>
    <w:p w14:paraId="76B27F2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C1F23"/>
          <w:kern w:val="0"/>
          <w:sz w:val="32"/>
          <w:szCs w:val="32"/>
          <w:lang w:val="en-US" w:eastAsia="zh-CN" w:bidi="ar"/>
        </w:rPr>
      </w:pPr>
      <w:r>
        <w:rPr>
          <w:rFonts w:hint="eastAsia" w:ascii="仿宋_GB2312" w:hAnsi="仿宋_GB2312" w:eastAsia="仿宋_GB2312" w:cs="仿宋_GB2312"/>
          <w:color w:val="1C1F23"/>
          <w:kern w:val="0"/>
          <w:sz w:val="32"/>
          <w:szCs w:val="32"/>
          <w:lang w:val="en-US" w:eastAsia="zh-CN" w:bidi="ar"/>
        </w:rPr>
        <w:t>（2）甘肃省省级重点专业</w:t>
      </w:r>
    </w:p>
    <w:p w14:paraId="0E86A26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C1F23"/>
          <w:kern w:val="0"/>
          <w:sz w:val="32"/>
          <w:szCs w:val="32"/>
          <w:lang w:val="en-US" w:eastAsia="zh-CN" w:bidi="ar"/>
        </w:rPr>
      </w:pPr>
      <w:r>
        <w:rPr>
          <w:rFonts w:hint="eastAsia" w:ascii="仿宋_GB2312" w:hAnsi="仿宋_GB2312" w:eastAsia="仿宋_GB2312" w:cs="仿宋_GB2312"/>
          <w:color w:val="1C1F23"/>
          <w:kern w:val="0"/>
          <w:sz w:val="32"/>
          <w:szCs w:val="32"/>
          <w:lang w:val="en-US" w:eastAsia="zh-CN" w:bidi="ar"/>
        </w:rPr>
        <w:t>（3）甘肃省职业教育骨干专业</w:t>
      </w:r>
    </w:p>
    <w:p w14:paraId="535FF43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C1F23"/>
          <w:kern w:val="0"/>
          <w:sz w:val="32"/>
          <w:szCs w:val="32"/>
          <w:lang w:val="en-US" w:eastAsia="zh-CN" w:bidi="ar"/>
        </w:rPr>
      </w:pPr>
      <w:r>
        <w:rPr>
          <w:rFonts w:hint="eastAsia" w:ascii="仿宋_GB2312" w:hAnsi="仿宋_GB2312" w:eastAsia="仿宋_GB2312" w:cs="仿宋_GB2312"/>
          <w:color w:val="1C1F23"/>
          <w:kern w:val="0"/>
          <w:sz w:val="32"/>
          <w:szCs w:val="32"/>
          <w:lang w:val="en-US" w:eastAsia="zh-CN" w:bidi="ar"/>
        </w:rPr>
        <w:t>（4）甘肃省优质专业</w:t>
      </w:r>
    </w:p>
    <w:p w14:paraId="5AA7B77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1C1F23"/>
          <w:kern w:val="0"/>
          <w:sz w:val="32"/>
          <w:szCs w:val="32"/>
          <w:lang w:val="en-US" w:eastAsia="zh-CN" w:bidi="ar"/>
        </w:rPr>
      </w:pPr>
      <w:r>
        <w:rPr>
          <w:rFonts w:hint="eastAsia" w:ascii="楷体" w:hAnsi="楷体" w:eastAsia="楷体" w:cs="楷体"/>
          <w:color w:val="1C1F23"/>
          <w:kern w:val="0"/>
          <w:sz w:val="32"/>
          <w:szCs w:val="32"/>
          <w:lang w:val="en-US" w:eastAsia="zh-CN" w:bidi="ar"/>
        </w:rPr>
        <w:t>（二）“3+2”中高职贯通培养</w:t>
      </w:r>
    </w:p>
    <w:p w14:paraId="4F48A77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C1F23"/>
          <w:kern w:val="0"/>
          <w:sz w:val="32"/>
          <w:szCs w:val="32"/>
          <w:lang w:val="en-US" w:eastAsia="zh-CN" w:bidi="ar"/>
        </w:rPr>
      </w:pPr>
      <w:r>
        <w:rPr>
          <w:rFonts w:hint="eastAsia" w:ascii="仿宋_GB2312" w:hAnsi="仿宋_GB2312" w:eastAsia="仿宋_GB2312" w:cs="仿宋_GB2312"/>
          <w:color w:val="1C1F23"/>
          <w:kern w:val="0"/>
          <w:sz w:val="32"/>
          <w:szCs w:val="32"/>
          <w:lang w:val="en-US" w:eastAsia="zh-CN" w:bidi="ar"/>
        </w:rPr>
        <w:t>实施中高职贯通培养的中职学校要求近三年未发生违规办学行为、重大安全责任事故、群体性事件以及不存在重大安全隐患，同时须符合以下条件：</w:t>
      </w:r>
    </w:p>
    <w:p w14:paraId="6B8E2FC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1.须为办学条件9项监测指标全部达标且办学行为规范的。（23个国家重点帮扶县所属公办中职学校可适当放宽条件）</w:t>
      </w:r>
    </w:p>
    <w:p w14:paraId="669973F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2.全日制在校生应达到1200人及以上。（学校帮扶学校可适当放宽条件）</w:t>
      </w:r>
    </w:p>
    <w:p w14:paraId="155150A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3.培养专业须为中职与高职相同专业大类（按甘肃省中职升学考试八大类相对应原则）。</w:t>
      </w:r>
    </w:p>
    <w:p w14:paraId="327CE79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4.原则上中职学校的1个专业最多与2所高职院校的专业对接。</w:t>
      </w:r>
    </w:p>
    <w:p w14:paraId="7BE3306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5.合作专业有良好的教学资源基础，包括但不限于师资力量和教学设施、实训设施和实践教学资源。</w:t>
      </w:r>
    </w:p>
    <w:p w14:paraId="256B8B5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6.与兰州石化职业技术大学有良好合作基础的优先。</w:t>
      </w:r>
    </w:p>
    <w:p w14:paraId="7AB50C8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color w:val="1C1F23"/>
          <w:kern w:val="0"/>
          <w:sz w:val="32"/>
          <w:szCs w:val="32"/>
          <w:lang w:val="en-US" w:eastAsia="zh-CN" w:bidi="ar"/>
        </w:rPr>
      </w:pPr>
      <w:r>
        <w:rPr>
          <w:rFonts w:hint="eastAsia" w:ascii="黑体" w:hAnsi="黑体" w:eastAsia="黑体" w:cs="黑体"/>
          <w:color w:val="1C1F23"/>
          <w:kern w:val="0"/>
          <w:sz w:val="32"/>
          <w:szCs w:val="32"/>
          <w:lang w:val="en-US" w:eastAsia="zh-CN" w:bidi="ar"/>
        </w:rPr>
        <w:t>四、申报流程</w:t>
      </w:r>
    </w:p>
    <w:p w14:paraId="3519EB3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1.邀请符合条件的中职学校填写《兰州石化职业技术大学“3+4”中本/“3+2”中高职贯通培养申请书》提交申请。</w:t>
      </w:r>
    </w:p>
    <w:p w14:paraId="488AD5A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2.</w:t>
      </w:r>
      <w:r>
        <w:rPr>
          <w:rFonts w:hint="eastAsia" w:ascii="仿宋_GB2312" w:hAnsi="仿宋_GB2312" w:eastAsia="仿宋_GB2312" w:cs="仿宋_GB2312"/>
          <w:color w:val="000000"/>
          <w:kern w:val="0"/>
          <w:sz w:val="32"/>
          <w:szCs w:val="32"/>
          <w:lang w:val="en-US" w:eastAsia="zh-CN" w:bidi="ar"/>
        </w:rPr>
        <w:t>组织专家评审，对中职学校合作专业进行包括师资力量、教学设施、专业设置与中高职贯通培养的匹配度等方面进行评估，并进行人才培养方面的对接。</w:t>
      </w:r>
    </w:p>
    <w:p w14:paraId="16A032C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3.择优确定合作学校，并按相同、相近、专业设置相匹配原则确定合作专业（类）。</w:t>
      </w:r>
    </w:p>
    <w:p w14:paraId="59EF128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4.签订合作协议，填写《甘肃省</w:t>
      </w:r>
      <w:r>
        <w:rPr>
          <w:rFonts w:hint="eastAsia" w:ascii="仿宋_GB2312" w:hAnsi="仿宋_GB2312" w:eastAsia="仿宋_GB2312" w:cs="仿宋_GB2312"/>
          <w:color w:val="1C1F23"/>
          <w:kern w:val="0"/>
          <w:sz w:val="32"/>
          <w:szCs w:val="32"/>
          <w:lang w:val="en-US" w:eastAsia="zh-CN" w:bidi="ar"/>
        </w:rPr>
        <w:t>职业教育衔接贯通培养申报书</w:t>
      </w:r>
      <w:r>
        <w:rPr>
          <w:rFonts w:hint="eastAsia" w:ascii="仿宋_GB2312" w:hAnsi="仿宋_GB2312" w:eastAsia="仿宋_GB2312" w:cs="仿宋_GB2312"/>
          <w:color w:val="000000"/>
          <w:kern w:val="0"/>
          <w:sz w:val="32"/>
          <w:szCs w:val="32"/>
          <w:lang w:val="en-US" w:eastAsia="zh-CN" w:bidi="ar"/>
        </w:rPr>
        <w:t>》，完成申报程序。</w:t>
      </w:r>
    </w:p>
    <w:p w14:paraId="20E8FC9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5.制定人才培养方案</w:t>
      </w:r>
    </w:p>
    <w:p w14:paraId="76D9FE8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6.实施贯通培养工作</w:t>
      </w:r>
    </w:p>
    <w:p w14:paraId="46A22E0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负责部门：教务处、招生就业处</w:t>
      </w:r>
    </w:p>
    <w:p w14:paraId="78F3AE0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配合部门：相关学院</w:t>
      </w:r>
    </w:p>
    <w:p w14:paraId="62F572C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1C1F23"/>
          <w:kern w:val="0"/>
          <w:sz w:val="32"/>
          <w:szCs w:val="32"/>
          <w:lang w:val="en-US" w:eastAsia="zh-CN" w:bidi="ar"/>
        </w:rPr>
      </w:pPr>
      <w:r>
        <w:rPr>
          <w:rFonts w:hint="eastAsia" w:ascii="黑体" w:hAnsi="黑体" w:eastAsia="黑体" w:cs="黑体"/>
          <w:color w:val="1C1F23"/>
          <w:kern w:val="0"/>
          <w:sz w:val="32"/>
          <w:szCs w:val="32"/>
          <w:lang w:val="en-US" w:eastAsia="zh-CN" w:bidi="ar"/>
        </w:rPr>
        <w:t>五、人才培养</w:t>
      </w:r>
    </w:p>
    <w:p w14:paraId="0778D8E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按照《职业教育专业目录（2021年）》，对标国家专业简介和专业教学标准，由学校牵头，中职学校协同，行业企业参与，共同制定贯通培养专业人才培养方案，明确不同阶段入学要求、修业年限、培养目标、培养规格、课程设置、学时安排、教学进程总体安排。实施保障、毕业要求等内容。系统构建一体化课程体系，明确不同阶段课程教学责任主体和教学计划具体要求。统筹设计实践教学环节，完善校校、校企实践教学资源共享机制，加强虚拟仿真实训资源的共建共享。深化产教融合，持续推进“岗课赛证”综合育人，校企共同实施现场工程师、中国特色学徒制以及“订单式”人才培养。</w:t>
      </w:r>
    </w:p>
    <w:p w14:paraId="42B88D6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负责部门：教务处</w:t>
      </w:r>
    </w:p>
    <w:p w14:paraId="7CE1F6F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配合部门：相关学院</w:t>
      </w:r>
    </w:p>
    <w:p w14:paraId="79B63EA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1C1F23"/>
          <w:kern w:val="0"/>
          <w:sz w:val="32"/>
          <w:szCs w:val="32"/>
          <w:lang w:val="en-US" w:eastAsia="zh-CN" w:bidi="ar"/>
        </w:rPr>
      </w:pPr>
      <w:r>
        <w:rPr>
          <w:rFonts w:hint="eastAsia" w:ascii="黑体" w:hAnsi="黑体" w:eastAsia="黑体" w:cs="黑体"/>
          <w:color w:val="1C1F23"/>
          <w:kern w:val="0"/>
          <w:sz w:val="32"/>
          <w:szCs w:val="32"/>
          <w:lang w:val="en-US" w:eastAsia="zh-CN" w:bidi="ar"/>
        </w:rPr>
        <w:t>六、招生要求</w:t>
      </w:r>
    </w:p>
    <w:p w14:paraId="2822719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按照“学校和专业均对应”的原则协商招生计划，即一所高校的一个专业对应一所试点中职学校的招生计划原则上不少于30人。贯通培养招生合作院校及招生计划，由所在地市州教育局审核，经省教育厅同意后下达并向社会公布，市州教育局按计划组织实施。“3+4”中本贯通培养中职招生录取控制分数线原则上不低于考生所在地中考普通高中录取分数线，与普通高中同批次录取。“3+2”贯通培养中职招生录取控制分数线，原则上不低于考生所在地中考普通高中录取分数线下20分。</w:t>
      </w:r>
    </w:p>
    <w:p w14:paraId="35F2667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1C1F23"/>
          <w:kern w:val="0"/>
          <w:sz w:val="32"/>
          <w:szCs w:val="32"/>
          <w:lang w:val="en-US" w:eastAsia="zh-CN" w:bidi="ar"/>
        </w:rPr>
      </w:pPr>
      <w:r>
        <w:rPr>
          <w:rFonts w:hint="eastAsia" w:ascii="黑体" w:hAnsi="黑体" w:eastAsia="黑体" w:cs="黑体"/>
          <w:color w:val="1C1F23"/>
          <w:kern w:val="0"/>
          <w:sz w:val="32"/>
          <w:szCs w:val="32"/>
          <w:lang w:val="en-US" w:eastAsia="zh-CN" w:bidi="ar"/>
        </w:rPr>
        <w:t>七、转段考试</w:t>
      </w:r>
    </w:p>
    <w:p w14:paraId="335DD0A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color w:val="1C1F23"/>
          <w:kern w:val="0"/>
          <w:sz w:val="32"/>
          <w:szCs w:val="32"/>
          <w:lang w:val="en-US" w:eastAsia="zh-CN" w:bidi="ar"/>
        </w:rPr>
        <w:t>（一）“3+4”中本贯通培养</w:t>
      </w:r>
    </w:p>
    <w:p w14:paraId="0DF2C76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C1F23"/>
          <w:kern w:val="0"/>
          <w:sz w:val="32"/>
          <w:szCs w:val="32"/>
          <w:lang w:val="en-US" w:eastAsia="zh-CN" w:bidi="ar"/>
        </w:rPr>
      </w:pPr>
      <w:r>
        <w:rPr>
          <w:rFonts w:hint="eastAsia" w:ascii="仿宋_GB2312" w:hAnsi="仿宋_GB2312" w:eastAsia="仿宋_GB2312" w:cs="仿宋_GB2312"/>
          <w:color w:val="1C1F23"/>
          <w:kern w:val="0"/>
          <w:sz w:val="32"/>
          <w:szCs w:val="32"/>
          <w:lang w:val="en-US" w:eastAsia="zh-CN" w:bidi="ar"/>
        </w:rPr>
        <w:t>通过参加全省中职对口升学考试，在中职对口升学考试本科招生计划中单列计划、单独划线、单独录取，并在提前批次录取，转段录取名单须由省教育考试院审定。</w:t>
      </w:r>
    </w:p>
    <w:p w14:paraId="5A711A5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color w:val="1C1F23"/>
          <w:kern w:val="0"/>
          <w:sz w:val="32"/>
          <w:szCs w:val="32"/>
          <w:lang w:val="en-US" w:eastAsia="zh-CN" w:bidi="ar"/>
        </w:rPr>
        <w:t>（二）“3+2”中高职贯通培养</w:t>
      </w:r>
    </w:p>
    <w:p w14:paraId="0FB72F6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转段考试前兰州石化职业技术大学将发布学校“3+2”中高职贯通培养转段考试办法，学生</w:t>
      </w:r>
      <w:r>
        <w:rPr>
          <w:rFonts w:hint="eastAsia" w:ascii="仿宋_GB2312" w:hAnsi="仿宋_GB2312" w:eastAsia="仿宋_GB2312" w:cs="仿宋_GB2312"/>
          <w:color w:val="000000"/>
          <w:kern w:val="0"/>
          <w:sz w:val="32"/>
          <w:szCs w:val="32"/>
          <w:lang w:val="en-US" w:eastAsia="zh-CN" w:bidi="ar"/>
        </w:rPr>
        <w:t>须参加并通过兰州石化职业技术大学“3+2”贯通培养转段考</w:t>
      </w:r>
      <w:bookmarkStart w:id="0" w:name="_GoBack"/>
      <w:bookmarkEnd w:id="0"/>
      <w:r>
        <w:rPr>
          <w:rFonts w:hint="eastAsia" w:ascii="仿宋_GB2312" w:hAnsi="仿宋_GB2312" w:eastAsia="仿宋_GB2312" w:cs="仿宋_GB2312"/>
          <w:color w:val="000000"/>
          <w:kern w:val="0"/>
          <w:sz w:val="32"/>
          <w:szCs w:val="32"/>
          <w:lang w:val="en-US" w:eastAsia="zh-CN" w:bidi="ar"/>
        </w:rPr>
        <w:t>试方可予以录取</w:t>
      </w:r>
      <w:r>
        <w:rPr>
          <w:rFonts w:hint="eastAsia" w:ascii="仿宋_GB2312" w:hAnsi="仿宋_GB2312" w:eastAsia="仿宋_GB2312" w:cs="仿宋_GB2312"/>
          <w:color w:val="1C1F23"/>
          <w:kern w:val="0"/>
          <w:sz w:val="32"/>
          <w:szCs w:val="32"/>
          <w:lang w:val="en-US" w:eastAsia="zh-CN" w:bidi="ar"/>
        </w:rPr>
        <w:t>：</w:t>
      </w:r>
    </w:p>
    <w:p w14:paraId="0F6CE72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1.明确科目内容，以考核学生的专业知识和技能为重点。</w:t>
      </w:r>
    </w:p>
    <w:p w14:paraId="7AA8094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2.制定转段考试的评分标准和录取办法。</w:t>
      </w:r>
    </w:p>
    <w:p w14:paraId="3C1389C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3.组织转段考试，确保考试的公平、公正、公开。</w:t>
      </w:r>
    </w:p>
    <w:p w14:paraId="4FDF740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负责部门：招生就业处、教务处</w:t>
      </w:r>
    </w:p>
    <w:p w14:paraId="09FB7C7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C1F23"/>
          <w:kern w:val="0"/>
          <w:sz w:val="32"/>
          <w:szCs w:val="32"/>
          <w:lang w:val="en-US" w:eastAsia="zh-CN" w:bidi="ar"/>
        </w:rPr>
      </w:pPr>
      <w:r>
        <w:rPr>
          <w:rFonts w:hint="eastAsia" w:ascii="仿宋_GB2312" w:hAnsi="仿宋_GB2312" w:eastAsia="仿宋_GB2312" w:cs="仿宋_GB2312"/>
          <w:color w:val="1C1F23"/>
          <w:kern w:val="0"/>
          <w:sz w:val="32"/>
          <w:szCs w:val="32"/>
          <w:lang w:val="en-US" w:eastAsia="zh-CN" w:bidi="ar"/>
        </w:rPr>
        <w:t>配合部门：相关学院</w:t>
      </w:r>
    </w:p>
    <w:p w14:paraId="315CDC7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1C1F23"/>
          <w:kern w:val="0"/>
          <w:sz w:val="32"/>
          <w:szCs w:val="32"/>
          <w:lang w:val="en-US" w:eastAsia="zh-CN" w:bidi="ar"/>
        </w:rPr>
      </w:pPr>
      <w:r>
        <w:rPr>
          <w:rFonts w:hint="eastAsia" w:ascii="黑体" w:hAnsi="黑体" w:eastAsia="黑体" w:cs="黑体"/>
          <w:color w:val="1C1F23"/>
          <w:kern w:val="0"/>
          <w:sz w:val="32"/>
          <w:szCs w:val="32"/>
          <w:lang w:val="en-US" w:eastAsia="zh-CN" w:bidi="ar"/>
        </w:rPr>
        <w:t>八、保障措施</w:t>
      </w:r>
    </w:p>
    <w:p w14:paraId="47B479E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1.学校招生就业工作领导小组负责协调全面工作。</w:t>
      </w:r>
    </w:p>
    <w:p w14:paraId="4A609E1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1C1F23"/>
          <w:kern w:val="0"/>
          <w:sz w:val="32"/>
          <w:szCs w:val="32"/>
          <w:lang w:val="en-US" w:eastAsia="zh-CN" w:bidi="ar"/>
        </w:rPr>
        <w:t>2.制定相关的管理制度，保障培养工作的顺利进行。</w:t>
      </w:r>
    </w:p>
    <w:p w14:paraId="69A9DC5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C1F23"/>
          <w:kern w:val="0"/>
          <w:sz w:val="32"/>
          <w:szCs w:val="32"/>
          <w:lang w:val="en-US" w:eastAsia="zh-CN" w:bidi="ar"/>
        </w:rPr>
      </w:pPr>
      <w:r>
        <w:rPr>
          <w:rFonts w:hint="eastAsia" w:ascii="仿宋_GB2312" w:hAnsi="仿宋_GB2312" w:eastAsia="仿宋_GB2312" w:cs="仿宋_GB2312"/>
          <w:color w:val="1C1F23"/>
          <w:kern w:val="0"/>
          <w:sz w:val="32"/>
          <w:szCs w:val="32"/>
          <w:lang w:val="en-US" w:eastAsia="zh-CN" w:bidi="ar"/>
        </w:rPr>
        <w:t>3.在实施过程中，根据实际情况不断优化方案，提高中高职贯通培养的质量和效果。</w:t>
      </w:r>
    </w:p>
    <w:p w14:paraId="4FE69CDB">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NzA4YTFkOGNhMjdjYjQ5ODY4OTgzMzI1YmMwYTYifQ=="/>
  </w:docVars>
  <w:rsids>
    <w:rsidRoot w:val="00000000"/>
    <w:rsid w:val="00481283"/>
    <w:rsid w:val="020744D2"/>
    <w:rsid w:val="0504667E"/>
    <w:rsid w:val="0CF84031"/>
    <w:rsid w:val="104F151D"/>
    <w:rsid w:val="15F35395"/>
    <w:rsid w:val="16CC523F"/>
    <w:rsid w:val="17331C6C"/>
    <w:rsid w:val="18A84B5D"/>
    <w:rsid w:val="1A096495"/>
    <w:rsid w:val="1E00770A"/>
    <w:rsid w:val="213B4094"/>
    <w:rsid w:val="22423A46"/>
    <w:rsid w:val="2E191FE8"/>
    <w:rsid w:val="2E532A1D"/>
    <w:rsid w:val="36A802B1"/>
    <w:rsid w:val="36D93CDC"/>
    <w:rsid w:val="3A9B5E78"/>
    <w:rsid w:val="3F2D065A"/>
    <w:rsid w:val="404223BE"/>
    <w:rsid w:val="42A72EE0"/>
    <w:rsid w:val="43CF4E75"/>
    <w:rsid w:val="44ED504B"/>
    <w:rsid w:val="450B1E4C"/>
    <w:rsid w:val="45252F0E"/>
    <w:rsid w:val="46A32A22"/>
    <w:rsid w:val="46A9191C"/>
    <w:rsid w:val="497A75A0"/>
    <w:rsid w:val="4B453B05"/>
    <w:rsid w:val="4C575977"/>
    <w:rsid w:val="4E3E294A"/>
    <w:rsid w:val="504A7CCC"/>
    <w:rsid w:val="50D92DFE"/>
    <w:rsid w:val="52B62784"/>
    <w:rsid w:val="57A17EB3"/>
    <w:rsid w:val="5A943A15"/>
    <w:rsid w:val="5BE80399"/>
    <w:rsid w:val="5C9B7168"/>
    <w:rsid w:val="5CF05758"/>
    <w:rsid w:val="619D39D4"/>
    <w:rsid w:val="61B52FAB"/>
    <w:rsid w:val="627D3078"/>
    <w:rsid w:val="68E36170"/>
    <w:rsid w:val="6D415DCA"/>
    <w:rsid w:val="6F417E36"/>
    <w:rsid w:val="752D0621"/>
    <w:rsid w:val="7E6E42D6"/>
    <w:rsid w:val="7F503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黑体" w:hAnsi="黑体" w:eastAsia="黑体" w:cs="黑体"/>
      <w:sz w:val="26"/>
      <w:szCs w:val="26"/>
      <w:lang w:val="en-US" w:eastAsia="en-US" w:bidi="ar-SA"/>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autoRedefine/>
    <w:semiHidden/>
    <w:qFormat/>
    <w:uiPriority w:val="0"/>
    <w:rPr>
      <w:rFonts w:ascii="Arial" w:hAnsi="Arial" w:eastAsia="Arial" w:cs="Arial"/>
      <w:sz w:val="21"/>
      <w:szCs w:val="21"/>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8c8f2377-255d-4b01-9680-780c937dc2c4}">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2169</Words>
  <Characters>2256</Characters>
  <Lines>0</Lines>
  <Paragraphs>0</Paragraphs>
  <TotalTime>6</TotalTime>
  <ScaleCrop>false</ScaleCrop>
  <LinksUpToDate>false</LinksUpToDate>
  <CharactersWithSpaces>2256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2024-04-28T02:10:00Z</dcterms:created>
  <dc:creator>Administrator</dc:creator>
  <cp:lastModifiedBy>趙旭會</cp:lastModifiedBy>
  <cp:lastPrinted>2024-04-28T05:38:00Z</cp:lastPrinted>
  <dcterms:modified xsi:type="dcterms:W3CDTF">2026-05-06T07:51:57Z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BE4AC982E27A44F89B145C60A73D33BD_13</vt:lpwstr>
  </property>
  <property fmtid="{D5CDD505-2E9C-101B-9397-08002B2CF9AE}" pid="4" name="KSOTemplateDocerSaveRecord">
    <vt:lpwstr>eyJoZGlkIjoiOTgwODFkMjE0NmEyOTJlZTZjZjNkNmJkNDM5MDUxYTEiLCJ1c2VySWQiOiIyMzU1OTgxNTEifQ==</vt:lpwstr>
  </property>
</Properties>
</file>